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F50B92E" w14:textId="709E0CFE" w:rsidR="00C141E3" w:rsidRPr="00D74B92" w:rsidRDefault="00C141E3" w:rsidP="00C141E3">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8BF9422" wp14:editId="78A2A7A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FD6A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w:t>
      </w:r>
      <w:r w:rsidR="00560D07">
        <w:rPr>
          <w:rFonts w:ascii="Arial" w:hAnsi="Arial" w:cs="Arial"/>
          <w:b/>
          <w:kern w:val="2"/>
          <w:lang w:eastAsia="zh-CN"/>
        </w:rPr>
        <w:t>6</w:t>
      </w:r>
      <w:r>
        <w:rPr>
          <w:rFonts w:ascii="Arial" w:hAnsi="Arial" w:cs="Arial"/>
          <w:b/>
          <w:kern w:val="2"/>
          <w:lang w:eastAsia="zh-CN"/>
        </w:rPr>
        <w:t>-e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w:t>
      </w:r>
      <w:r w:rsidR="001F5A2F">
        <w:rPr>
          <w:rFonts w:ascii="Arial" w:hAnsi="Arial" w:cs="Arial"/>
          <w:b/>
          <w:kern w:val="2"/>
          <w:lang w:eastAsia="zh-CN"/>
        </w:rPr>
        <w:t>11448</w:t>
      </w:r>
    </w:p>
    <w:p w14:paraId="77F199F4" w14:textId="4C97E2EE" w:rsidR="00F26A5F" w:rsidRDefault="00C141E3" w:rsidP="00C141E3">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r>
      <w:r w:rsidR="00560D07">
        <w:rPr>
          <w:rFonts w:ascii="Arial" w:hAnsi="Arial" w:cs="Arial"/>
          <w:b/>
          <w:kern w:val="2"/>
          <w:lang w:eastAsia="zh-CN"/>
        </w:rPr>
        <w:t>17</w:t>
      </w:r>
      <w:r w:rsidR="008D61A9">
        <w:rPr>
          <w:rFonts w:ascii="Arial" w:hAnsi="Arial" w:cs="Arial"/>
          <w:b/>
          <w:kern w:val="2"/>
          <w:lang w:eastAsia="zh-CN"/>
        </w:rPr>
        <w:t xml:space="preserve"> </w:t>
      </w:r>
      <w:r>
        <w:rPr>
          <w:rFonts w:ascii="Arial" w:hAnsi="Arial" w:cs="Arial"/>
          <w:b/>
          <w:kern w:val="2"/>
          <w:lang w:eastAsia="zh-CN"/>
        </w:rPr>
        <w:t>–</w:t>
      </w:r>
      <w:r w:rsidR="008D61A9">
        <w:rPr>
          <w:rFonts w:ascii="Arial" w:hAnsi="Arial" w:cs="Arial"/>
          <w:b/>
          <w:kern w:val="2"/>
          <w:lang w:eastAsia="zh-CN"/>
        </w:rPr>
        <w:t xml:space="preserve"> </w:t>
      </w:r>
      <w:r w:rsidR="00560D07">
        <w:rPr>
          <w:rFonts w:ascii="Arial" w:hAnsi="Arial" w:cs="Arial"/>
          <w:b/>
          <w:kern w:val="2"/>
          <w:lang w:eastAsia="zh-CN"/>
        </w:rPr>
        <w:t>28 August</w:t>
      </w:r>
      <w:r>
        <w:rPr>
          <w:rFonts w:ascii="Arial" w:hAnsi="Arial" w:cs="Arial"/>
          <w:b/>
          <w:kern w:val="2"/>
          <w:lang w:eastAsia="zh-CN"/>
        </w:rPr>
        <w:t xml:space="preserve"> 2020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5736B4AB"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C1B57" w:rsidRPr="001945A8">
        <w:rPr>
          <w:rFonts w:ascii="Arial" w:hAnsi="Arial" w:cs="Arial"/>
          <w:b/>
          <w:lang w:eastAsia="zh-CN"/>
        </w:rPr>
        <w:t>7</w:t>
      </w:r>
      <w:r w:rsidR="00A06AAD" w:rsidRPr="001945A8">
        <w:rPr>
          <w:rFonts w:ascii="Arial" w:hAnsi="Arial" w:cs="Arial"/>
          <w:b/>
          <w:lang w:eastAsia="zh-CN"/>
        </w:rPr>
        <w:t>.</w:t>
      </w:r>
      <w:r w:rsidR="008D61A9" w:rsidRPr="001945A8">
        <w:rPr>
          <w:rFonts w:ascii="Arial" w:hAnsi="Arial" w:cs="Arial"/>
          <w:b/>
          <w:lang w:eastAsia="zh-CN"/>
        </w:rPr>
        <w:t>1</w:t>
      </w:r>
      <w:r w:rsidR="009C1B57" w:rsidRPr="001945A8">
        <w:rPr>
          <w:rFonts w:ascii="Arial" w:hAnsi="Arial" w:cs="Arial"/>
          <w:b/>
          <w:lang w:eastAsia="zh-CN"/>
        </w:rPr>
        <w:t>2</w:t>
      </w:r>
      <w:r w:rsidR="00A06AAD" w:rsidRPr="001945A8">
        <w:rPr>
          <w:rFonts w:ascii="Arial" w:hAnsi="Arial" w:cs="Arial"/>
          <w:b/>
          <w:lang w:eastAsia="zh-CN"/>
        </w:rPr>
        <w:t>.</w:t>
      </w:r>
      <w:r w:rsidR="008D61A9" w:rsidRPr="001945A8">
        <w:rPr>
          <w:rFonts w:ascii="Arial" w:hAnsi="Arial" w:cs="Arial"/>
          <w:b/>
          <w:lang w:eastAsia="zh-CN"/>
        </w:rPr>
        <w:t>1</w:t>
      </w:r>
      <w:r w:rsidR="00CD5A7C" w:rsidRPr="001945A8">
        <w:rPr>
          <w:rFonts w:ascii="Arial" w:hAnsi="Arial" w:cs="Arial"/>
          <w:b/>
          <w:lang w:eastAsia="zh-CN"/>
        </w:rPr>
        <w:t>.</w:t>
      </w:r>
      <w:r w:rsidR="009C1B57" w:rsidRPr="001945A8">
        <w:rPr>
          <w:rFonts w:ascii="Arial" w:hAnsi="Arial" w:cs="Arial"/>
          <w:b/>
          <w:lang w:eastAsia="zh-CN"/>
        </w:rPr>
        <w:t>5</w:t>
      </w:r>
    </w:p>
    <w:p w14:paraId="7AF4C819" w14:textId="482016C5"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8A5019" w:rsidRPr="00F54CB0">
        <w:rPr>
          <w:rFonts w:ascii="Arial" w:hAnsi="Arial" w:cs="Arial"/>
          <w:b/>
          <w:bCs/>
          <w:caps/>
          <w:szCs w:val="24"/>
          <w:shd w:val="clear" w:color="auto" w:fill="FFFFFF"/>
        </w:rPr>
        <w:t>F</w:t>
      </w:r>
      <w:r w:rsidR="00633BA1">
        <w:rPr>
          <w:rFonts w:ascii="Arial" w:hAnsi="Arial" w:cs="Arial"/>
          <w:b/>
          <w:bCs/>
          <w:caps/>
          <w:szCs w:val="24"/>
          <w:shd w:val="clear" w:color="auto" w:fill="FFFFFF"/>
        </w:rPr>
        <w:t>UTUREWEI</w:t>
      </w:r>
    </w:p>
    <w:p w14:paraId="592199C5" w14:textId="08BBAB7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F0A71">
        <w:rPr>
          <w:rFonts w:ascii="Arial" w:hAnsi="Arial" w:cs="Arial"/>
          <w:b/>
          <w:lang w:eastAsia="zh-CN"/>
        </w:rPr>
        <w:t xml:space="preserve">Remaining </w:t>
      </w:r>
      <w:r w:rsidR="00EB6927">
        <w:rPr>
          <w:rFonts w:ascii="Arial" w:hAnsi="Arial" w:cs="Arial"/>
          <w:b/>
          <w:lang w:eastAsia="zh-CN"/>
        </w:rPr>
        <w:t>D</w:t>
      </w:r>
      <w:r w:rsidR="00AF0A71">
        <w:rPr>
          <w:rFonts w:ascii="Arial" w:hAnsi="Arial" w:cs="Arial"/>
          <w:b/>
          <w:lang w:eastAsia="zh-CN"/>
        </w:rPr>
        <w:t xml:space="preserve">etails on </w:t>
      </w:r>
      <w:r w:rsidR="00C645B3">
        <w:rPr>
          <w:rFonts w:ascii="Arial" w:hAnsi="Arial" w:cs="Arial"/>
          <w:b/>
          <w:lang w:eastAsia="zh-CN"/>
        </w:rPr>
        <w:t>FR2</w:t>
      </w:r>
      <w:r w:rsidR="007D3EBC">
        <w:rPr>
          <w:rFonts w:ascii="Arial" w:hAnsi="Arial" w:cs="Arial"/>
          <w:b/>
          <w:lang w:eastAsia="zh-CN"/>
        </w:rPr>
        <w:t xml:space="preserve"> Inter-band</w:t>
      </w:r>
      <w:r w:rsidR="00C645B3">
        <w:rPr>
          <w:rFonts w:ascii="Arial" w:hAnsi="Arial" w:cs="Arial"/>
          <w:b/>
          <w:lang w:eastAsia="zh-CN"/>
        </w:rPr>
        <w:t xml:space="preserve"> DL CA</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B9C6DA7" w14:textId="6F4CEA87" w:rsidR="009A76C9" w:rsidRDefault="00B63BDC">
      <w:pPr>
        <w:rPr>
          <w:lang w:eastAsia="zh-CN"/>
        </w:rPr>
      </w:pPr>
      <w:bookmarkStart w:id="2" w:name="_Ref129681832"/>
      <w:r>
        <w:rPr>
          <w:lang w:eastAsia="zh-CN"/>
        </w:rPr>
        <w:t>During RAN4#9</w:t>
      </w:r>
      <w:r w:rsidR="007D638C">
        <w:rPr>
          <w:lang w:eastAsia="zh-CN"/>
        </w:rPr>
        <w:t>5e</w:t>
      </w:r>
      <w:r>
        <w:rPr>
          <w:lang w:eastAsia="zh-CN"/>
        </w:rPr>
        <w:t xml:space="preserve"> </w:t>
      </w:r>
      <w:r w:rsidR="001945A8">
        <w:rPr>
          <w:lang w:eastAsia="zh-CN"/>
        </w:rPr>
        <w:t xml:space="preserve">meeting, there was </w:t>
      </w:r>
      <w:r w:rsidR="00D2497E">
        <w:rPr>
          <w:lang w:eastAsia="zh-CN"/>
        </w:rPr>
        <w:t xml:space="preserve">an </w:t>
      </w:r>
      <w:r w:rsidR="001945A8">
        <w:rPr>
          <w:lang w:eastAsia="zh-CN"/>
        </w:rPr>
        <w:t xml:space="preserve">extensive discussion </w:t>
      </w:r>
      <w:r w:rsidR="00267798">
        <w:rPr>
          <w:lang w:eastAsia="zh-CN"/>
        </w:rPr>
        <w:t xml:space="preserve">on </w:t>
      </w:r>
      <w:r w:rsidR="001945A8">
        <w:rPr>
          <w:lang w:eastAsia="zh-CN"/>
        </w:rPr>
        <w:t xml:space="preserve">FR2 inter-band DL CA but the WF </w:t>
      </w:r>
      <w:r w:rsidR="00E85176">
        <w:rPr>
          <w:lang w:eastAsia="zh-CN"/>
        </w:rPr>
        <w:t xml:space="preserve">(R4-2008487) </w:t>
      </w:r>
      <w:r w:rsidR="00D2497E">
        <w:rPr>
          <w:lang w:eastAsia="zh-CN"/>
        </w:rPr>
        <w:t xml:space="preserve">[1] </w:t>
      </w:r>
      <w:r w:rsidR="001945A8">
        <w:rPr>
          <w:lang w:eastAsia="zh-CN"/>
        </w:rPr>
        <w:t>was not agreed. In this contribution, we share our views on the remaining open issues.</w:t>
      </w:r>
    </w:p>
    <w:p w14:paraId="58A573FC" w14:textId="1A6C8C23" w:rsidR="00854A63" w:rsidRDefault="008D61A9" w:rsidP="00EB52C3">
      <w:pPr>
        <w:pStyle w:val="Heading1"/>
      </w:pPr>
      <w:r>
        <w:t>Discussion</w:t>
      </w:r>
      <w:r w:rsidR="009609A7">
        <w:t xml:space="preserve"> on remaining issues</w:t>
      </w:r>
    </w:p>
    <w:p w14:paraId="5148EA23" w14:textId="72E2A6FD" w:rsidR="009609A7" w:rsidRDefault="009609A7" w:rsidP="009609A7">
      <w:pPr>
        <w:pStyle w:val="Heading2"/>
      </w:pPr>
      <w:r>
        <w:t>Attributes related to IBM / CBM capabilities</w:t>
      </w:r>
    </w:p>
    <w:p w14:paraId="7C2D30C4" w14:textId="1B0722F2" w:rsidR="009609A7" w:rsidRDefault="009609A7" w:rsidP="009609A7">
      <w:r>
        <w:t xml:space="preserve">In the last meeting RAN#95e, there </w:t>
      </w:r>
      <w:r w:rsidR="00AC2D53">
        <w:t>wa</w:t>
      </w:r>
      <w:r>
        <w:t xml:space="preserve">s a </w:t>
      </w:r>
      <w:r w:rsidR="002E29D4">
        <w:t xml:space="preserve">tentative </w:t>
      </w:r>
      <w:r>
        <w:t xml:space="preserve">consensus </w:t>
      </w:r>
      <w:r w:rsidR="002E29D4">
        <w:t xml:space="preserve">(not an agreement yet) </w:t>
      </w:r>
      <w:r>
        <w:t>to define IBM/CBM capability</w:t>
      </w:r>
      <w:r w:rsidR="009008AF">
        <w:t xml:space="preserve"> per band pair</w:t>
      </w:r>
      <w:r>
        <w:t>.</w:t>
      </w:r>
      <w:r w:rsidR="003E1098">
        <w:t xml:space="preserve"> </w:t>
      </w:r>
      <w:r>
        <w:t>But some</w:t>
      </w:r>
      <w:r w:rsidR="009008AF">
        <w:t xml:space="preserve"> further</w:t>
      </w:r>
      <w:r>
        <w:t xml:space="preserve"> clarifications are needed</w:t>
      </w:r>
      <w:r w:rsidR="0029598F">
        <w:t xml:space="preserve"> with respect to the</w:t>
      </w:r>
      <w:r>
        <w:t xml:space="preserve"> attributes</w:t>
      </w:r>
      <w:r w:rsidR="009008AF">
        <w:t xml:space="preserve"> associated</w:t>
      </w:r>
      <w:r>
        <w:t xml:space="preserve"> </w:t>
      </w:r>
      <w:r w:rsidR="00AC2D53">
        <w:t>with introducing s</w:t>
      </w:r>
      <w:r>
        <w:t>uch capabilit</w:t>
      </w:r>
      <w:r w:rsidR="009008AF">
        <w:t>ies</w:t>
      </w:r>
      <w:r>
        <w:t xml:space="preserve">. </w:t>
      </w:r>
      <w:r w:rsidR="00254CD2">
        <w:t>In general, it is agreeable to introduce IBM/CBM capability per band pair.</w:t>
      </w:r>
    </w:p>
    <w:p w14:paraId="7FED3BB8" w14:textId="73433F3B" w:rsidR="00AB61D1" w:rsidRPr="00F51298" w:rsidRDefault="00DA5F2C" w:rsidP="00AB61D1">
      <w:pPr>
        <w:rPr>
          <w:b/>
          <w:bCs/>
          <w:lang w:val="en-GB"/>
        </w:rPr>
      </w:pPr>
      <w:r w:rsidRPr="00F51298">
        <w:rPr>
          <w:b/>
          <w:bCs/>
        </w:rPr>
        <w:t>Proposal</w:t>
      </w:r>
      <w:r w:rsidR="00AB61D1" w:rsidRPr="00F51298">
        <w:rPr>
          <w:b/>
          <w:bCs/>
        </w:rPr>
        <w:t xml:space="preserve"> 1</w:t>
      </w:r>
      <w:r w:rsidRPr="00F51298">
        <w:rPr>
          <w:b/>
          <w:bCs/>
        </w:rPr>
        <w:t xml:space="preserve">: </w:t>
      </w:r>
      <w:r w:rsidR="00AB61D1" w:rsidRPr="00F51298">
        <w:rPr>
          <w:b/>
          <w:bCs/>
          <w:lang w:val="en-GB"/>
        </w:rPr>
        <w:t>Introduce IBM</w:t>
      </w:r>
      <w:r w:rsidR="00B31846" w:rsidRPr="00F51298">
        <w:rPr>
          <w:b/>
          <w:bCs/>
          <w:lang w:val="en-GB"/>
        </w:rPr>
        <w:t xml:space="preserve"> and </w:t>
      </w:r>
      <w:r w:rsidR="00AB61D1" w:rsidRPr="00F51298">
        <w:rPr>
          <w:b/>
          <w:bCs/>
          <w:lang w:val="en-GB"/>
        </w:rPr>
        <w:t>CBM capability per band pair</w:t>
      </w:r>
    </w:p>
    <w:p w14:paraId="56486830" w14:textId="77DDBCA2" w:rsidR="001A4A87" w:rsidRDefault="009E2F24" w:rsidP="009609A7">
      <w:r w:rsidRPr="009E2F24">
        <w:rPr>
          <w:b/>
          <w:bCs/>
        </w:rPr>
        <w:t>Issue 1</w:t>
      </w:r>
      <w:r>
        <w:t xml:space="preserve">: On the issue whether </w:t>
      </w:r>
      <w:r w:rsidR="00A76DFC">
        <w:t>to introduce support of co-located and/or non-co-located deployment capability per band pair or not</w:t>
      </w:r>
      <w:r>
        <w:t>:  t</w:t>
      </w:r>
      <w:r w:rsidR="00A76DFC">
        <w:t>here is a major</w:t>
      </w:r>
      <w:r w:rsidR="00AC2D53">
        <w:t>ity</w:t>
      </w:r>
      <w:r w:rsidR="00A76DFC">
        <w:t xml:space="preserve"> support for “No” i.e. no need to</w:t>
      </w:r>
      <w:r w:rsidR="0029598F">
        <w:t xml:space="preserve"> introduce</w:t>
      </w:r>
      <w:r w:rsidR="00A76DFC">
        <w:t xml:space="preserve"> additional capability per band pair. It consequently implies that </w:t>
      </w:r>
      <w:r w:rsidR="002E669F">
        <w:t xml:space="preserve">the </w:t>
      </w:r>
      <w:r w:rsidR="00A76DFC">
        <w:t xml:space="preserve">UE with CBM band pair shall support co-located deployment and meet corresponding requirement. </w:t>
      </w:r>
      <w:r w:rsidR="00E92279">
        <w:t>F</w:t>
      </w:r>
      <w:r w:rsidR="00B2721C">
        <w:t xml:space="preserve">or this implicit assumption to work (without any introduction of capability), </w:t>
      </w:r>
      <w:r w:rsidR="00E85176">
        <w:t>CBM</w:t>
      </w:r>
      <w:r w:rsidR="00080330">
        <w:t xml:space="preserve"> </w:t>
      </w:r>
      <w:r w:rsidR="00E92279">
        <w:t>capability’s characteristics/</w:t>
      </w:r>
      <w:r w:rsidR="00080330">
        <w:t xml:space="preserve"> attributes </w:t>
      </w:r>
      <w:r w:rsidR="00E92279">
        <w:t>must</w:t>
      </w:r>
      <w:r w:rsidR="00080330">
        <w:t xml:space="preserve"> </w:t>
      </w:r>
      <w:r w:rsidR="00E92279">
        <w:t xml:space="preserve">be </w:t>
      </w:r>
      <w:r w:rsidR="00080330">
        <w:t>clarified. The</w:t>
      </w:r>
      <w:r w:rsidR="001A4A87">
        <w:t xml:space="preserve"> </w:t>
      </w:r>
      <w:r w:rsidR="00E92279">
        <w:t>‘</w:t>
      </w:r>
      <w:r w:rsidR="00080330">
        <w:t>co-locate</w:t>
      </w:r>
      <w:r w:rsidR="001A4A87">
        <w:t>d</w:t>
      </w:r>
      <w:r w:rsidR="00E92279">
        <w:t>’</w:t>
      </w:r>
      <w:r w:rsidR="001A4A87">
        <w:t xml:space="preserve"> deployment</w:t>
      </w:r>
      <w:r w:rsidR="00E92279">
        <w:t xml:space="preserve"> scenario for intra</w:t>
      </w:r>
      <w:r w:rsidR="001A4A87">
        <w:t xml:space="preserve">-band CA, inter-band IBM, inter-band CBM </w:t>
      </w:r>
      <w:r w:rsidR="003B39D4">
        <w:t xml:space="preserve">may </w:t>
      </w:r>
      <w:r w:rsidR="001A4A87">
        <w:t xml:space="preserve">have different assumptions on RF chain implementation and </w:t>
      </w:r>
      <w:r w:rsidR="00AC2D53">
        <w:t>beam management</w:t>
      </w:r>
      <w:r w:rsidR="001A4A87">
        <w:t xml:space="preserve"> procedures.  So, when we define CBM attributes, these additional details should also be considered on top of implicit co-located deployment. </w:t>
      </w:r>
    </w:p>
    <w:p w14:paraId="79CB6954" w14:textId="5538E937" w:rsidR="001A4A87" w:rsidRDefault="001A4A87" w:rsidP="001A4A87">
      <w:r>
        <w:t>From the previous agreement in WF (R4-</w:t>
      </w:r>
      <w:r w:rsidR="009E2F24">
        <w:t>2005736) [2]</w:t>
      </w:r>
      <w:r>
        <w:t xml:space="preserve"> from #94bis-e meeting:  </w:t>
      </w:r>
    </w:p>
    <w:p w14:paraId="0B94BD12" w14:textId="77777777" w:rsidR="00DA5F2C" w:rsidRPr="00DA5F2C" w:rsidRDefault="00DA5F2C" w:rsidP="001A4A87">
      <w:pPr>
        <w:numPr>
          <w:ilvl w:val="0"/>
          <w:numId w:val="22"/>
        </w:numPr>
        <w:rPr>
          <w:i/>
          <w:iCs/>
        </w:rPr>
      </w:pPr>
      <w:r w:rsidRPr="00DA5F2C">
        <w:rPr>
          <w:i/>
          <w:iCs/>
        </w:rPr>
        <w:t>Network does not assume CBM UE supports non-co-located deployment</w:t>
      </w:r>
    </w:p>
    <w:p w14:paraId="64261143" w14:textId="77777777" w:rsidR="00DA5F2C" w:rsidRPr="00DA5F2C" w:rsidRDefault="00DA5F2C" w:rsidP="001A4A87">
      <w:pPr>
        <w:numPr>
          <w:ilvl w:val="1"/>
          <w:numId w:val="22"/>
        </w:numPr>
        <w:rPr>
          <w:i/>
          <w:iCs/>
        </w:rPr>
      </w:pPr>
      <w:r w:rsidRPr="00DA5F2C">
        <w:rPr>
          <w:i/>
          <w:iCs/>
        </w:rPr>
        <w:t xml:space="preserve">This doesn’t mean the network cannot configure CBM UE in non-co-located deployment </w:t>
      </w:r>
    </w:p>
    <w:p w14:paraId="23711A3F" w14:textId="77777777" w:rsidR="001A4A87" w:rsidRPr="00DA5F2C" w:rsidRDefault="00DA5F2C" w:rsidP="001A4A87">
      <w:pPr>
        <w:numPr>
          <w:ilvl w:val="0"/>
          <w:numId w:val="22"/>
        </w:numPr>
        <w:rPr>
          <w:i/>
          <w:iCs/>
        </w:rPr>
      </w:pPr>
      <w:r w:rsidRPr="00DA5F2C">
        <w:rPr>
          <w:i/>
          <w:iCs/>
        </w:rPr>
        <w:t>Network assumes IBM UE supports both co-located and non-co-located deployments.</w:t>
      </w:r>
    </w:p>
    <w:p w14:paraId="35754A0C" w14:textId="48267194" w:rsidR="001A4A87" w:rsidRDefault="001A4A87" w:rsidP="009609A7"/>
    <w:p w14:paraId="05E0052C" w14:textId="11784227" w:rsidR="00EC65FA" w:rsidRDefault="00EC65FA" w:rsidP="009609A7">
      <w:r>
        <w:t>While the co-located deployment could be optimal deployment for CBM, as per the above agreement</w:t>
      </w:r>
      <w:r w:rsidR="00AC2D53">
        <w:t>,</w:t>
      </w:r>
      <w:r>
        <w:t xml:space="preserve"> this does not mean the network cannot configure CBM UE in non-co</w:t>
      </w:r>
      <w:r w:rsidR="00AC2D53">
        <w:t>-</w:t>
      </w:r>
      <w:r>
        <w:t xml:space="preserve">located deployment. </w:t>
      </w:r>
    </w:p>
    <w:p w14:paraId="12C4D7A0" w14:textId="3859661A" w:rsidR="00E92279" w:rsidRPr="00E92279" w:rsidRDefault="00E92279" w:rsidP="00E92279">
      <w:pPr>
        <w:rPr>
          <w:sz w:val="20"/>
          <w:szCs w:val="20"/>
        </w:rPr>
      </w:pPr>
      <w:r>
        <w:t xml:space="preserve">It should also be noted that </w:t>
      </w:r>
      <w:r w:rsidR="0096755D">
        <w:t xml:space="preserve">a </w:t>
      </w:r>
      <w:r>
        <w:t xml:space="preserve">certain band pair </w:t>
      </w:r>
      <w:r w:rsidR="0096755D">
        <w:t>can</w:t>
      </w:r>
      <w:r>
        <w:t xml:space="preserve"> have both CBM and/or IBM</w:t>
      </w:r>
      <w:r w:rsidR="0096755D">
        <w:t>. I</w:t>
      </w:r>
      <w:r>
        <w:t>nter-ban</w:t>
      </w:r>
      <w:r w:rsidR="003B39D4">
        <w:t>d</w:t>
      </w:r>
      <w:r>
        <w:t xml:space="preserve"> DL CA for more than 2 bands could have CBM and IBM interchangeably depending on what CA is being used.  </w:t>
      </w:r>
      <w:r>
        <w:rPr>
          <w:lang w:val="x-none"/>
        </w:rPr>
        <w:t>A certain band combination may have both co</w:t>
      </w:r>
      <w:r w:rsidR="00B3092D">
        <w:t>-located</w:t>
      </w:r>
      <w:r>
        <w:rPr>
          <w:lang w:val="x-none"/>
        </w:rPr>
        <w:t xml:space="preserve"> and non-co</w:t>
      </w:r>
      <w:r w:rsidR="00B3092D">
        <w:t>-</w:t>
      </w:r>
      <w:r>
        <w:rPr>
          <w:lang w:val="x-none"/>
        </w:rPr>
        <w:t>located deployment in the real network.</w:t>
      </w:r>
      <w:r>
        <w:t xml:space="preserve"> </w:t>
      </w:r>
      <w:r w:rsidR="003B39D4">
        <w:t xml:space="preserve">So, in addition to implicit meaning of CBM or IBM capabilities, </w:t>
      </w:r>
      <w:r w:rsidR="0096755D">
        <w:t>it is beneficial to</w:t>
      </w:r>
      <w:r w:rsidR="003B39D4">
        <w:t xml:space="preserve"> explicit</w:t>
      </w:r>
      <w:r w:rsidR="0096755D">
        <w:t>ly</w:t>
      </w:r>
      <w:r w:rsidR="003B39D4">
        <w:t xml:space="preserve"> defin</w:t>
      </w:r>
      <w:r w:rsidR="0096755D">
        <w:t>e some of</w:t>
      </w:r>
      <w:r w:rsidR="003B39D4">
        <w:t xml:space="preserve"> its attribut</w:t>
      </w:r>
      <w:r w:rsidR="0096755D">
        <w:t>es</w:t>
      </w:r>
      <w:r w:rsidR="003B39D4">
        <w:t xml:space="preserve"> (e.g. co-located and non-co-located </w:t>
      </w:r>
      <w:r w:rsidR="0096755D">
        <w:t>information</w:t>
      </w:r>
      <w:r w:rsidR="003B39D4">
        <w:t xml:space="preserve">). </w:t>
      </w:r>
    </w:p>
    <w:p w14:paraId="3EAAA716" w14:textId="2A11C16E" w:rsidR="00AB61D1" w:rsidRPr="00F51298" w:rsidRDefault="00AB61D1" w:rsidP="009609A7">
      <w:pPr>
        <w:rPr>
          <w:b/>
          <w:bCs/>
        </w:rPr>
      </w:pPr>
      <w:r w:rsidRPr="00F51298">
        <w:rPr>
          <w:b/>
          <w:bCs/>
        </w:rPr>
        <w:t xml:space="preserve">Observation 1: With the implicit understanding that </w:t>
      </w:r>
      <w:r w:rsidR="00153F96" w:rsidRPr="00F51298">
        <w:rPr>
          <w:b/>
          <w:bCs/>
        </w:rPr>
        <w:t xml:space="preserve">the </w:t>
      </w:r>
      <w:r w:rsidRPr="00F51298">
        <w:rPr>
          <w:b/>
          <w:bCs/>
        </w:rPr>
        <w:t>CBM band pair shall support co-located deployments</w:t>
      </w:r>
      <w:r w:rsidR="00153F96" w:rsidRPr="00F51298">
        <w:rPr>
          <w:b/>
          <w:bCs/>
        </w:rPr>
        <w:t xml:space="preserve"> and meet corresponding requirements</w:t>
      </w:r>
      <w:r w:rsidRPr="00F51298">
        <w:rPr>
          <w:b/>
          <w:bCs/>
        </w:rPr>
        <w:t>, IBM band-pair shall support both co-located and non-co</w:t>
      </w:r>
      <w:r w:rsidR="00B3092D" w:rsidRPr="00F51298">
        <w:rPr>
          <w:b/>
          <w:bCs/>
        </w:rPr>
        <w:t>-</w:t>
      </w:r>
      <w:r w:rsidRPr="00F51298">
        <w:rPr>
          <w:b/>
          <w:bCs/>
        </w:rPr>
        <w:t xml:space="preserve">located deployments, the </w:t>
      </w:r>
      <w:r w:rsidR="00EC65FA" w:rsidRPr="00F51298">
        <w:rPr>
          <w:b/>
          <w:bCs/>
        </w:rPr>
        <w:t xml:space="preserve">other </w:t>
      </w:r>
      <w:r w:rsidR="00153F96" w:rsidRPr="00F51298">
        <w:rPr>
          <w:b/>
          <w:bCs/>
        </w:rPr>
        <w:t>attributes associated with CBM/IBM capabilities are</w:t>
      </w:r>
      <w:r w:rsidR="00EC65FA" w:rsidRPr="00F51298">
        <w:rPr>
          <w:b/>
          <w:bCs/>
        </w:rPr>
        <w:t xml:space="preserve"> also need to be </w:t>
      </w:r>
      <w:r w:rsidR="00153F96" w:rsidRPr="00F51298">
        <w:rPr>
          <w:b/>
          <w:bCs/>
        </w:rPr>
        <w:t xml:space="preserve"> clarified</w:t>
      </w:r>
      <w:r w:rsidR="0096755D" w:rsidRPr="00F51298">
        <w:rPr>
          <w:b/>
          <w:bCs/>
        </w:rPr>
        <w:t xml:space="preserve"> and defined</w:t>
      </w:r>
      <w:r w:rsidR="00153F96" w:rsidRPr="00F51298">
        <w:rPr>
          <w:b/>
          <w:bCs/>
        </w:rPr>
        <w:t xml:space="preserve">. </w:t>
      </w:r>
    </w:p>
    <w:p w14:paraId="5D79B298" w14:textId="77777777" w:rsidR="00153F96" w:rsidRDefault="00153F96" w:rsidP="009609A7"/>
    <w:p w14:paraId="06EAFAD6" w14:textId="127CCEF1" w:rsidR="009008AF" w:rsidRDefault="0096755D" w:rsidP="009008AF">
      <w:r w:rsidRPr="0096755D">
        <w:rPr>
          <w:b/>
          <w:bCs/>
        </w:rPr>
        <w:lastRenderedPageBreak/>
        <w:t>Issue 2:</w:t>
      </w:r>
      <w:r>
        <w:t xml:space="preserve"> On issue wh</w:t>
      </w:r>
      <w:r w:rsidR="00FB2637">
        <w:t xml:space="preserve">ether intra-band </w:t>
      </w:r>
      <w:r w:rsidR="00BE477A">
        <w:t>non-</w:t>
      </w:r>
      <w:r w:rsidR="00FB2637">
        <w:t xml:space="preserve">contiguous CA requirements apply to CBM band pair in inter-band DL CA.  </w:t>
      </w:r>
    </w:p>
    <w:p w14:paraId="5B2C5789" w14:textId="07E85C21" w:rsidR="00DA7D9A" w:rsidRDefault="00417559" w:rsidP="009609A7">
      <w:r>
        <w:t>Firstly,</w:t>
      </w:r>
      <w:r w:rsidR="003606C4">
        <w:t xml:space="preserve"> the deployment assumption</w:t>
      </w:r>
      <w:r>
        <w:t xml:space="preserve"> </w:t>
      </w:r>
      <w:r w:rsidR="00B14677">
        <w:t>for</w:t>
      </w:r>
      <w:r>
        <w:t xml:space="preserve"> the intra-band </w:t>
      </w:r>
      <w:r w:rsidR="00B14677">
        <w:t xml:space="preserve">CA is </w:t>
      </w:r>
      <w:r>
        <w:t>co-located</w:t>
      </w:r>
      <w:r w:rsidR="00EC65FA">
        <w:t>.</w:t>
      </w:r>
      <w:r w:rsidR="0029598F">
        <w:t xml:space="preserve"> </w:t>
      </w:r>
      <w:r w:rsidR="00EA3F75">
        <w:t>As</w:t>
      </w:r>
      <w:r w:rsidR="0029598F">
        <w:t xml:space="preserve"> a general principle, it </w:t>
      </w:r>
      <w:r w:rsidR="003B39D4">
        <w:t>is</w:t>
      </w:r>
      <w:r>
        <w:t xml:space="preserve"> desirable </w:t>
      </w:r>
      <w:r w:rsidR="000B4DFD">
        <w:t xml:space="preserve">to </w:t>
      </w:r>
      <w:r w:rsidR="003B39D4">
        <w:t>re-</w:t>
      </w:r>
      <w:r w:rsidR="000B4DFD">
        <w:t>apply</w:t>
      </w:r>
      <w:r w:rsidR="00B14677">
        <w:t xml:space="preserve"> requirements </w:t>
      </w:r>
      <w:r w:rsidR="000B4DFD">
        <w:t xml:space="preserve">that are already defined </w:t>
      </w:r>
      <w:r>
        <w:t>as much as possible</w:t>
      </w:r>
      <w:r w:rsidR="00B14677">
        <w:t xml:space="preserve"> if the conditions</w:t>
      </w:r>
      <w:r w:rsidR="000B4DFD">
        <w:t xml:space="preserve"> and scenarios</w:t>
      </w:r>
      <w:r w:rsidR="00B14677">
        <w:t xml:space="preserve"> </w:t>
      </w:r>
      <w:r w:rsidR="000B4DFD">
        <w:t>do not differ</w:t>
      </w:r>
      <w:r>
        <w:t>.</w:t>
      </w:r>
      <w:r w:rsidR="0029598F">
        <w:t xml:space="preserve"> However,</w:t>
      </w:r>
      <w:r w:rsidR="007C285F">
        <w:t xml:space="preserve"> the</w:t>
      </w:r>
      <w:r w:rsidR="0029598F">
        <w:t xml:space="preserve"> requirements for inter-band DL CA band pairs will be individually defined, so </w:t>
      </w:r>
      <w:r w:rsidR="00EA3F75">
        <w:t xml:space="preserve">the requirements should be </w:t>
      </w:r>
      <w:r w:rsidR="000B4DFD">
        <w:t>investigated</w:t>
      </w:r>
      <w:r w:rsidR="00EA3F75">
        <w:t xml:space="preserve"> </w:t>
      </w:r>
      <w:r w:rsidR="0029598F">
        <w:t>case-by-case</w:t>
      </w:r>
      <w:r w:rsidR="00AC2D53">
        <w:t xml:space="preserve"> if any of the intra-band non-contiguous requirements apply</w:t>
      </w:r>
      <w:r w:rsidR="0029598F">
        <w:t xml:space="preserve">. </w:t>
      </w:r>
    </w:p>
    <w:p w14:paraId="6988B1F9" w14:textId="20B16EF1" w:rsidR="007C285F" w:rsidRDefault="00DA7D9A" w:rsidP="009609A7">
      <w:r>
        <w:t>Due to deployment scenario being co-location</w:t>
      </w:r>
      <w:r w:rsidR="005A6913">
        <w:t xml:space="preserve"> in both cases</w:t>
      </w:r>
      <w:r>
        <w:t xml:space="preserve">, for L+L and H+H, </w:t>
      </w:r>
      <w:r w:rsidR="004470DE">
        <w:t>requirements related to (</w:t>
      </w:r>
      <w:proofErr w:type="spellStart"/>
      <w:r w:rsidR="004470DE">
        <w:t>i</w:t>
      </w:r>
      <w:proofErr w:type="spellEnd"/>
      <w:r w:rsidR="004470DE">
        <w:t xml:space="preserve">) </w:t>
      </w:r>
      <w:r>
        <w:t>equal PSD on CCs</w:t>
      </w:r>
      <w:r w:rsidR="004470DE">
        <w:t xml:space="preserve">, (ii) similar </w:t>
      </w:r>
      <w:proofErr w:type="spellStart"/>
      <w:r w:rsidR="004470DE">
        <w:t>AoA</w:t>
      </w:r>
      <w:proofErr w:type="spellEnd"/>
      <w:r w:rsidR="005A6913">
        <w:t xml:space="preserve"> for CCs</w:t>
      </w:r>
      <w:r w:rsidR="004470DE">
        <w:t xml:space="preserve">, and </w:t>
      </w:r>
      <w:r w:rsidR="005A6913">
        <w:t xml:space="preserve">(iii) </w:t>
      </w:r>
      <w:r w:rsidR="004470DE">
        <w:t xml:space="preserve">common </w:t>
      </w:r>
      <w:r w:rsidR="00307279">
        <w:t xml:space="preserve">spherical </w:t>
      </w:r>
      <w:r w:rsidR="004470DE">
        <w:t xml:space="preserve">coverage for all CCs are </w:t>
      </w:r>
      <w:r w:rsidR="00A7706C">
        <w:t xml:space="preserve">all </w:t>
      </w:r>
      <w:r w:rsidR="004470DE">
        <w:t xml:space="preserve">applicable. </w:t>
      </w:r>
      <w:r w:rsidR="00307279">
        <w:t>T</w:t>
      </w:r>
      <w:r w:rsidR="000B4DFD">
        <w:t xml:space="preserve">he </w:t>
      </w:r>
      <w:r w:rsidR="00EC65FA">
        <w:t>potentially</w:t>
      </w:r>
      <w:r w:rsidR="008F26BC">
        <w:t xml:space="preserve"> large </w:t>
      </w:r>
      <w:r w:rsidR="00417559">
        <w:t>frequency separation</w:t>
      </w:r>
      <w:r w:rsidR="008F26BC">
        <w:t xml:space="preserve"> in inter-</w:t>
      </w:r>
      <w:r w:rsidR="007C285F">
        <w:t>band DL CA may</w:t>
      </w:r>
      <w:r w:rsidR="008F26BC">
        <w:t xml:space="preserve"> be handled with one common antenna array or two arrays.</w:t>
      </w:r>
      <w:r w:rsidR="00310625">
        <w:t xml:space="preserve"> </w:t>
      </w:r>
      <w:r w:rsidR="004470DE">
        <w:t>If L+H is implemented with 2 arrays, t</w:t>
      </w:r>
      <w:r w:rsidR="0029598F">
        <w:t xml:space="preserve">he </w:t>
      </w:r>
      <w:r w:rsidR="007C285F">
        <w:t xml:space="preserve">RF requirements due to large frequency separation could be </w:t>
      </w:r>
      <w:r w:rsidR="004470DE">
        <w:t xml:space="preserve">slightly different </w:t>
      </w:r>
      <w:r w:rsidR="00AA0D2B">
        <w:t>(</w:t>
      </w:r>
      <w:r w:rsidR="000B4DFD">
        <w:t xml:space="preserve">say, </w:t>
      </w:r>
      <w:r w:rsidR="00736796">
        <w:t xml:space="preserve">PSD </w:t>
      </w:r>
      <w:r w:rsidR="000B4DFD">
        <w:t>imbalance</w:t>
      </w:r>
      <w:r w:rsidR="00736796">
        <w:t xml:space="preserve">, </w:t>
      </w:r>
      <w:r w:rsidR="00EC65FA">
        <w:t xml:space="preserve">the EIS </w:t>
      </w:r>
      <w:r w:rsidR="00AA0D2B">
        <w:t xml:space="preserve">spherical coverage </w:t>
      </w:r>
      <w:r w:rsidR="00EC65FA">
        <w:t xml:space="preserve">relaxation </w:t>
      </w:r>
      <w:r w:rsidR="000B4DFD">
        <w:t>etc.,</w:t>
      </w:r>
      <w:r w:rsidR="00AA0D2B">
        <w:t>)</w:t>
      </w:r>
      <w:r w:rsidR="00736796">
        <w:t xml:space="preserve"> </w:t>
      </w:r>
      <w:r w:rsidR="00736796" w:rsidRPr="000B4DFD">
        <w:t xml:space="preserve">and </w:t>
      </w:r>
      <w:r w:rsidR="004470DE">
        <w:t xml:space="preserve">potentially </w:t>
      </w:r>
      <w:r w:rsidR="00736796" w:rsidRPr="000B4DFD">
        <w:t>o</w:t>
      </w:r>
      <w:r w:rsidR="00736796" w:rsidRPr="000B4DFD">
        <w:rPr>
          <w:lang w:eastAsia="zh-CN"/>
        </w:rPr>
        <w:t>ther frequency</w:t>
      </w:r>
      <w:r w:rsidR="005A6913">
        <w:rPr>
          <w:lang w:eastAsia="zh-CN"/>
        </w:rPr>
        <w:t>-</w:t>
      </w:r>
      <w:r w:rsidR="00736796" w:rsidRPr="000B4DFD">
        <w:rPr>
          <w:lang w:eastAsia="zh-CN"/>
        </w:rPr>
        <w:t>dependent RF degradations.</w:t>
      </w:r>
      <w:r w:rsidR="005A6913">
        <w:rPr>
          <w:lang w:eastAsia="zh-CN"/>
        </w:rPr>
        <w:t xml:space="preserve"> </w:t>
      </w:r>
      <w:r w:rsidR="00A7706C">
        <w:rPr>
          <w:lang w:eastAsia="zh-CN"/>
        </w:rPr>
        <w:t>In s</w:t>
      </w:r>
      <w:r w:rsidR="005A6913">
        <w:rPr>
          <w:lang w:eastAsia="zh-CN"/>
        </w:rPr>
        <w:t>uch cases the RF requirement reuse can be</w:t>
      </w:r>
      <w:r w:rsidR="003C3715">
        <w:rPr>
          <w:lang w:eastAsia="zh-CN"/>
        </w:rPr>
        <w:t xml:space="preserve"> investigated</w:t>
      </w:r>
      <w:r w:rsidR="005A6913">
        <w:rPr>
          <w:lang w:eastAsia="zh-CN"/>
        </w:rPr>
        <w:t xml:space="preserve"> case</w:t>
      </w:r>
      <w:r w:rsidR="00A7706C">
        <w:rPr>
          <w:lang w:eastAsia="zh-CN"/>
        </w:rPr>
        <w:t>-</w:t>
      </w:r>
      <w:r w:rsidR="005A6913">
        <w:rPr>
          <w:lang w:eastAsia="zh-CN"/>
        </w:rPr>
        <w:t>by</w:t>
      </w:r>
      <w:r w:rsidR="00A7706C">
        <w:rPr>
          <w:lang w:eastAsia="zh-CN"/>
        </w:rPr>
        <w:t>-</w:t>
      </w:r>
      <w:r w:rsidR="005A6913">
        <w:rPr>
          <w:lang w:eastAsia="zh-CN"/>
        </w:rPr>
        <w:t xml:space="preserve">case. </w:t>
      </w:r>
      <w:r w:rsidR="0029598F">
        <w:t xml:space="preserve"> </w:t>
      </w:r>
      <w:r w:rsidR="000B4DFD">
        <w:t>Furthermore,</w:t>
      </w:r>
      <w:r w:rsidR="00417559">
        <w:t xml:space="preserve"> </w:t>
      </w:r>
      <w:r w:rsidR="008F26BC">
        <w:t xml:space="preserve">it is not only the RF </w:t>
      </w:r>
      <w:r w:rsidR="00417559">
        <w:t xml:space="preserve">requirements </w:t>
      </w:r>
      <w:r w:rsidR="007C285F">
        <w:t>but BM</w:t>
      </w:r>
      <w:r w:rsidR="00417559">
        <w:t xml:space="preserve"> process that </w:t>
      </w:r>
      <w:r w:rsidR="007C285F">
        <w:t>could be</w:t>
      </w:r>
      <w:r w:rsidR="00417559">
        <w:t xml:space="preserve"> </w:t>
      </w:r>
      <w:r w:rsidR="004470DE">
        <w:t xml:space="preserve">same or </w:t>
      </w:r>
      <w:r w:rsidR="00417559">
        <w:t xml:space="preserve">different.  </w:t>
      </w:r>
      <w:r w:rsidR="004470DE">
        <w:t>If the baseband processing of CBM band pair is identical</w:t>
      </w:r>
      <w:r w:rsidR="005A6913">
        <w:t xml:space="preserve"> to intra-band non-contiguous band pair</w:t>
      </w:r>
      <w:r w:rsidR="004470DE">
        <w:t>, then jointly with CBM/</w:t>
      </w:r>
      <w:r w:rsidR="00307279">
        <w:t>co-location</w:t>
      </w:r>
      <w:r w:rsidR="006832B0">
        <w:t xml:space="preserve"> assumption</w:t>
      </w:r>
      <w:r w:rsidR="00307279">
        <w:t>, parameters such as MRTD could be similar.  On the other hand, i</w:t>
      </w:r>
      <w:r w:rsidR="00417559">
        <w:t>f the baseband processing</w:t>
      </w:r>
      <w:r w:rsidR="00310625">
        <w:t xml:space="preserve"> of CBM band pair</w:t>
      </w:r>
      <w:r w:rsidR="007C285F">
        <w:t xml:space="preserve"> i</w:t>
      </w:r>
      <w:r w:rsidR="00417559">
        <w:t>s different</w:t>
      </w:r>
      <w:r w:rsidR="00310625">
        <w:t xml:space="preserve"> to intra-band CA</w:t>
      </w:r>
      <w:r w:rsidR="007C285F">
        <w:t>,</w:t>
      </w:r>
      <w:r w:rsidR="00417559">
        <w:t xml:space="preserve"> then that </w:t>
      </w:r>
      <w:r w:rsidR="007C285F">
        <w:t>must</w:t>
      </w:r>
      <w:r w:rsidR="00417559">
        <w:t xml:space="preserve"> be </w:t>
      </w:r>
      <w:r w:rsidR="00310625">
        <w:t>considered as well</w:t>
      </w:r>
      <w:r w:rsidR="00417559">
        <w:t>.</w:t>
      </w:r>
      <w:r w:rsidR="00310625">
        <w:t xml:space="preserve">  </w:t>
      </w:r>
      <w:r w:rsidR="000B4DFD">
        <w:t>A</w:t>
      </w:r>
      <w:r w:rsidR="007C285F">
        <w:t xml:space="preserve"> blanket approach </w:t>
      </w:r>
      <w:r w:rsidR="000B4DFD">
        <w:t>of applying</w:t>
      </w:r>
      <w:r w:rsidR="003C3715">
        <w:t xml:space="preserve"> all</w:t>
      </w:r>
      <w:r w:rsidR="000B4DFD">
        <w:t xml:space="preserve"> intra-band non-contiguous CA requirements</w:t>
      </w:r>
      <w:r w:rsidR="000B4DFD" w:rsidRPr="000B4DFD">
        <w:t xml:space="preserve"> </w:t>
      </w:r>
      <w:r w:rsidR="000B4DFD">
        <w:t xml:space="preserve">to CBM band pair in inter-band DL CA </w:t>
      </w:r>
      <w:r w:rsidR="007C285F">
        <w:t>is not recommended</w:t>
      </w:r>
      <w:r w:rsidR="000B4DFD">
        <w:t>, and this should be investigated case-by-case</w:t>
      </w:r>
      <w:r w:rsidR="007C285F">
        <w:t xml:space="preserve">.  </w:t>
      </w:r>
    </w:p>
    <w:p w14:paraId="6873EE2C" w14:textId="1391EF66" w:rsidR="007C285F" w:rsidRPr="00F51298" w:rsidRDefault="008F26BC" w:rsidP="009609A7">
      <w:pPr>
        <w:rPr>
          <w:b/>
          <w:bCs/>
        </w:rPr>
      </w:pPr>
      <w:r w:rsidRPr="00F51298">
        <w:rPr>
          <w:b/>
          <w:bCs/>
        </w:rPr>
        <w:t xml:space="preserve">Observation 2: </w:t>
      </w:r>
      <w:r w:rsidR="00307279" w:rsidRPr="00F51298">
        <w:rPr>
          <w:b/>
          <w:bCs/>
        </w:rPr>
        <w:t>T</w:t>
      </w:r>
      <w:r w:rsidR="00A160EB" w:rsidRPr="00F51298">
        <w:rPr>
          <w:b/>
          <w:bCs/>
        </w:rPr>
        <w:t xml:space="preserve">he requirements for inter-band DL CA band pairs will be individually defined, so the requirements should be investigated case-by-case if any of the intra-band non-contiguous </w:t>
      </w:r>
      <w:r w:rsidR="003C3715" w:rsidRPr="00F51298">
        <w:rPr>
          <w:b/>
          <w:bCs/>
        </w:rPr>
        <w:t xml:space="preserve">DL CA </w:t>
      </w:r>
      <w:r w:rsidR="00A160EB" w:rsidRPr="00F51298">
        <w:rPr>
          <w:b/>
          <w:bCs/>
        </w:rPr>
        <w:t>requirements apply</w:t>
      </w:r>
      <w:r w:rsidR="005A6913" w:rsidRPr="00F51298">
        <w:rPr>
          <w:b/>
          <w:bCs/>
        </w:rPr>
        <w:t>.  In most cases reuse</w:t>
      </w:r>
      <w:r w:rsidR="00A7706C" w:rsidRPr="00F51298">
        <w:rPr>
          <w:b/>
          <w:bCs/>
        </w:rPr>
        <w:t xml:space="preserve"> of requirements</w:t>
      </w:r>
      <w:r w:rsidR="005A6913" w:rsidRPr="00F51298">
        <w:rPr>
          <w:b/>
          <w:bCs/>
        </w:rPr>
        <w:t xml:space="preserve"> is possible, but when there is </w:t>
      </w:r>
      <w:r w:rsidR="00985B9E" w:rsidRPr="00F51298">
        <w:rPr>
          <w:b/>
          <w:bCs/>
        </w:rPr>
        <w:t xml:space="preserve">a </w:t>
      </w:r>
      <w:r w:rsidR="005A6913" w:rsidRPr="00F51298">
        <w:rPr>
          <w:b/>
          <w:bCs/>
        </w:rPr>
        <w:t xml:space="preserve">frequency-dependent RF degradation or different BM </w:t>
      </w:r>
      <w:r w:rsidR="003C3715" w:rsidRPr="00F51298">
        <w:rPr>
          <w:b/>
          <w:bCs/>
        </w:rPr>
        <w:t xml:space="preserve">process </w:t>
      </w:r>
      <w:r w:rsidR="005A6913" w:rsidRPr="00F51298">
        <w:rPr>
          <w:b/>
          <w:bCs/>
        </w:rPr>
        <w:t xml:space="preserve">it should be </w:t>
      </w:r>
      <w:r w:rsidR="003C3715" w:rsidRPr="00F51298">
        <w:rPr>
          <w:b/>
          <w:bCs/>
        </w:rPr>
        <w:t>investigated</w:t>
      </w:r>
      <w:r w:rsidR="005A6913" w:rsidRPr="00F51298">
        <w:rPr>
          <w:b/>
          <w:bCs/>
        </w:rPr>
        <w:t xml:space="preserve"> case-by-case. </w:t>
      </w:r>
    </w:p>
    <w:p w14:paraId="3E5832D5" w14:textId="77777777" w:rsidR="00A160EB" w:rsidRDefault="00A160EB" w:rsidP="008C61F9">
      <w:pPr>
        <w:rPr>
          <w:color w:val="0070C0"/>
          <w:lang w:eastAsia="zh-CN"/>
        </w:rPr>
      </w:pPr>
    </w:p>
    <w:p w14:paraId="0D66DFF6" w14:textId="6A35B057" w:rsidR="006C6809" w:rsidRDefault="006C6809" w:rsidP="00EB33EB">
      <w:pPr>
        <w:pStyle w:val="Heading2"/>
        <w:rPr>
          <w:lang w:eastAsia="zh-CN"/>
        </w:rPr>
      </w:pPr>
      <w:r>
        <w:rPr>
          <w:lang w:eastAsia="zh-CN"/>
        </w:rPr>
        <w:t>EIS Spherical Coverage</w:t>
      </w:r>
      <w:r w:rsidR="002E29D4">
        <w:rPr>
          <w:lang w:eastAsia="zh-CN"/>
        </w:rPr>
        <w:t xml:space="preserve"> for inter-band DL CA</w:t>
      </w:r>
    </w:p>
    <w:p w14:paraId="4AAAC9BE" w14:textId="6DAEC569" w:rsidR="009C2F92" w:rsidRPr="002E669F" w:rsidRDefault="009C2F92" w:rsidP="008C61F9">
      <w:pPr>
        <w:rPr>
          <w:iCs/>
          <w:lang w:eastAsia="zh-CN"/>
        </w:rPr>
      </w:pPr>
      <w:r w:rsidRPr="002E669F">
        <w:rPr>
          <w:iCs/>
          <w:lang w:eastAsia="zh-CN"/>
        </w:rPr>
        <w:t>Defining inter-band DL CA spherical coverage requirement</w:t>
      </w:r>
      <w:r w:rsidR="00395800" w:rsidRPr="002E669F">
        <w:rPr>
          <w:iCs/>
          <w:lang w:eastAsia="zh-CN"/>
        </w:rPr>
        <w:t>s</w:t>
      </w:r>
      <w:r w:rsidRPr="002E669F">
        <w:rPr>
          <w:iCs/>
          <w:lang w:eastAsia="zh-CN"/>
        </w:rPr>
        <w:t xml:space="preserve"> was another open issue.</w:t>
      </w:r>
      <w:r w:rsidR="002E29D4" w:rsidRPr="002E669F">
        <w:rPr>
          <w:iCs/>
          <w:lang w:eastAsia="zh-CN"/>
        </w:rPr>
        <w:t xml:space="preserve">  In last few meetings, there is a relaxation framework consisting of different components for inter-band DL CA </w:t>
      </w:r>
      <w:r w:rsidR="00D836EE">
        <w:rPr>
          <w:iCs/>
          <w:lang w:eastAsia="zh-CN"/>
        </w:rPr>
        <w:t xml:space="preserve">EIS </w:t>
      </w:r>
      <w:r w:rsidR="002E29D4" w:rsidRPr="002E669F">
        <w:rPr>
          <w:iCs/>
          <w:lang w:eastAsia="zh-CN"/>
        </w:rPr>
        <w:t>spherical coverage</w:t>
      </w:r>
      <w:r w:rsidR="00D836EE">
        <w:rPr>
          <w:iCs/>
          <w:lang w:eastAsia="zh-CN"/>
        </w:rPr>
        <w:t xml:space="preserve"> relaxation</w:t>
      </w:r>
      <w:r w:rsidR="00395800" w:rsidRPr="002E669F">
        <w:rPr>
          <w:iCs/>
          <w:lang w:eastAsia="zh-CN"/>
        </w:rPr>
        <w:t xml:space="preserve"> are being defined. T</w:t>
      </w:r>
      <w:r w:rsidR="002E29D4" w:rsidRPr="002E669F">
        <w:rPr>
          <w:iCs/>
          <w:lang w:eastAsia="zh-CN"/>
        </w:rPr>
        <w:t xml:space="preserve">hey include defining requirements for </w:t>
      </w:r>
      <w:r w:rsidR="00A160EB">
        <w:rPr>
          <w:iCs/>
          <w:lang w:eastAsia="zh-CN"/>
        </w:rPr>
        <w:t>“</w:t>
      </w:r>
      <w:r w:rsidR="002E29D4" w:rsidRPr="002E669F">
        <w:rPr>
          <w:iCs/>
          <w:lang w:eastAsia="zh-CN"/>
        </w:rPr>
        <w:t>common</w:t>
      </w:r>
      <w:r w:rsidR="00633E54" w:rsidRPr="002E669F">
        <w:rPr>
          <w:iCs/>
          <w:lang w:eastAsia="zh-CN"/>
        </w:rPr>
        <w:t xml:space="preserve"> spherical</w:t>
      </w:r>
      <w:r w:rsidR="002E29D4" w:rsidRPr="002E669F">
        <w:rPr>
          <w:iCs/>
          <w:lang w:eastAsia="zh-CN"/>
        </w:rPr>
        <w:t xml:space="preserve"> coverage</w:t>
      </w:r>
      <w:r w:rsidR="00A160EB">
        <w:rPr>
          <w:iCs/>
          <w:lang w:eastAsia="zh-CN"/>
        </w:rPr>
        <w:t>”</w:t>
      </w:r>
      <w:r w:rsidR="002E29D4" w:rsidRPr="002E669F">
        <w:rPr>
          <w:iCs/>
          <w:lang w:eastAsia="zh-CN"/>
        </w:rPr>
        <w:t xml:space="preserve"> </w:t>
      </w:r>
      <w:r w:rsidR="00633E54" w:rsidRPr="002E669F">
        <w:rPr>
          <w:iCs/>
          <w:lang w:eastAsia="zh-CN"/>
        </w:rPr>
        <w:t>for inter-band DL CA.  Multi-band relaxation (MBR) and inter-band CA specific relaxations are other EIS spherical relaxations.</w:t>
      </w:r>
    </w:p>
    <w:p w14:paraId="1CA314F0" w14:textId="64D84720" w:rsidR="00395800" w:rsidRDefault="00633E54" w:rsidP="00310F23">
      <w:pPr>
        <w:rPr>
          <w:iCs/>
          <w:lang w:eastAsia="zh-CN"/>
        </w:rPr>
      </w:pPr>
      <w:r w:rsidRPr="002E669F">
        <w:rPr>
          <w:iCs/>
          <w:lang w:eastAsia="zh-CN"/>
        </w:rPr>
        <w:t>On common spherical coverage</w:t>
      </w:r>
      <w:r w:rsidR="0042250B" w:rsidRPr="002E669F">
        <w:rPr>
          <w:iCs/>
          <w:lang w:eastAsia="zh-CN"/>
        </w:rPr>
        <w:t xml:space="preserve"> requirements, there is a tentative consensus to a</w:t>
      </w:r>
      <w:r w:rsidR="006C6809" w:rsidRPr="002E669F">
        <w:rPr>
          <w:iCs/>
          <w:lang w:eastAsia="zh-CN"/>
        </w:rPr>
        <w:t>dopt requirement on area of sphere (or equivalently, solid angle) where both bands meet their respective single CC EIS spherical coverage requirements</w:t>
      </w:r>
      <w:r w:rsidR="0042250B" w:rsidRPr="002E669F">
        <w:rPr>
          <w:iCs/>
          <w:lang w:eastAsia="zh-CN"/>
        </w:rPr>
        <w:t>.</w:t>
      </w:r>
      <w:r w:rsidR="00D836EE">
        <w:rPr>
          <w:iCs/>
          <w:lang w:eastAsia="zh-CN"/>
        </w:rPr>
        <w:t xml:space="preserve"> </w:t>
      </w:r>
    </w:p>
    <w:p w14:paraId="286F4DAF" w14:textId="0B28E68B" w:rsidR="00A160EB" w:rsidRPr="00F51298" w:rsidRDefault="00A160EB" w:rsidP="00A160EB">
      <w:pPr>
        <w:rPr>
          <w:b/>
          <w:bCs/>
          <w:iCs/>
          <w:lang w:eastAsia="zh-CN"/>
        </w:rPr>
      </w:pPr>
      <w:r w:rsidRPr="00F51298">
        <w:rPr>
          <w:b/>
          <w:bCs/>
          <w:iCs/>
          <w:lang w:eastAsia="zh-CN"/>
        </w:rPr>
        <w:t xml:space="preserve">Proposal 2: Adopt requirement on area of sphere (or equivalently, solid angle) where both bands meet their respective single CC EIS spherical coverage requirements. </w:t>
      </w:r>
    </w:p>
    <w:p w14:paraId="7EC7F932" w14:textId="15744B20" w:rsidR="006C6809" w:rsidRPr="002E669F" w:rsidRDefault="00985B9E" w:rsidP="008C61F9">
      <w:r>
        <w:t>However, the questions remain: w</w:t>
      </w:r>
      <w:r w:rsidR="00310F23" w:rsidRPr="002E669F">
        <w:t>hen does this common coverage is applicable?</w:t>
      </w:r>
      <w:r w:rsidR="00310F23">
        <w:t xml:space="preserve"> </w:t>
      </w:r>
      <w:r w:rsidR="00D341A2" w:rsidRPr="002E669F">
        <w:t>Whether to apply to CBM and IBM pair, or only to the IBM pair?  What it says about co-located?</w:t>
      </w:r>
    </w:p>
    <w:p w14:paraId="15DC3F90" w14:textId="22C1616D" w:rsidR="00D341A2" w:rsidRDefault="00D836EE" w:rsidP="008C61F9">
      <w:r w:rsidRPr="00A160EB">
        <w:rPr>
          <w:b/>
          <w:bCs/>
          <w:u w:val="single"/>
        </w:rPr>
        <w:t xml:space="preserve">CBM / IBM in </w:t>
      </w:r>
      <w:r w:rsidR="004F0FAF" w:rsidRPr="00A160EB">
        <w:rPr>
          <w:b/>
          <w:bCs/>
          <w:u w:val="single"/>
        </w:rPr>
        <w:t>c</w:t>
      </w:r>
      <w:r w:rsidR="00633E54" w:rsidRPr="00A160EB">
        <w:rPr>
          <w:b/>
          <w:bCs/>
          <w:u w:val="single"/>
        </w:rPr>
        <w:t>o-located deployments:</w:t>
      </w:r>
      <w:r w:rsidR="00633E54" w:rsidRPr="002E669F">
        <w:t xml:space="preserve"> For CBM UEs and co-located cases of IBM UEs, the</w:t>
      </w:r>
      <w:r w:rsidR="00D341A2" w:rsidRPr="002E669F">
        <w:t xml:space="preserve"> </w:t>
      </w:r>
      <w:r w:rsidR="003741E9" w:rsidRPr="002E669F">
        <w:t>beams</w:t>
      </w:r>
      <w:r w:rsidR="00D341A2" w:rsidRPr="002E669F">
        <w:t xml:space="preserve"> of CC1 and CC2 point in the same direction. The solid angle </w:t>
      </w:r>
      <w:r w:rsidR="009C2F92" w:rsidRPr="002E669F">
        <w:t xml:space="preserve">where both the bands </w:t>
      </w:r>
      <w:r w:rsidR="005762EB" w:rsidRPr="002E669F">
        <w:t>meet their respective EIS spherical coverage requirements can be taken</w:t>
      </w:r>
      <w:r w:rsidR="003741E9" w:rsidRPr="002E669F">
        <w:t xml:space="preserve"> as common coverage EIS </w:t>
      </w:r>
      <w:r w:rsidR="00AA0D2B" w:rsidRPr="002E669F">
        <w:t>requirement</w:t>
      </w:r>
      <w:r w:rsidR="005762EB" w:rsidRPr="002E669F">
        <w:t>. This common coverage EIS requirement can be one of the components of overall DL CA EIS relaxation.</w:t>
      </w:r>
      <w:r w:rsidR="00073DCF">
        <w:t xml:space="preserve">  </w:t>
      </w:r>
    </w:p>
    <w:p w14:paraId="78645566" w14:textId="29E1D736" w:rsidR="00653B77" w:rsidRPr="002E669F" w:rsidRDefault="00653B77" w:rsidP="00653B77">
      <w:r w:rsidRPr="002E669F">
        <w:t xml:space="preserve">However, while defining band pairs, the frequency separation should also be considered. It </w:t>
      </w:r>
      <w:r>
        <w:t>relatively simpler</w:t>
      </w:r>
      <w:r w:rsidRPr="002E669F">
        <w:t xml:space="preserve"> to define an 3D solid angle of a sphere for L+L or H+H</w:t>
      </w:r>
      <w:r>
        <w:t xml:space="preserve"> and analyze if any relaxation at the common coverage point on CCDF</w:t>
      </w:r>
      <w:r w:rsidR="008F10EF">
        <w:t xml:space="preserve"> – </w:t>
      </w:r>
      <w:r w:rsidR="00985B9E">
        <w:t xml:space="preserve">as </w:t>
      </w:r>
      <w:r w:rsidR="008F10EF">
        <w:t>this is not expected to be significant. However,</w:t>
      </w:r>
      <w:r w:rsidRPr="002E669F">
        <w:t xml:space="preserve"> </w:t>
      </w:r>
      <w:r>
        <w:t>this relaxation value for</w:t>
      </w:r>
      <w:r w:rsidRPr="002E669F">
        <w:t xml:space="preserve"> L+H</w:t>
      </w:r>
      <w:r>
        <w:t xml:space="preserve"> could be significant</w:t>
      </w:r>
      <w:r w:rsidRPr="002E669F">
        <w:t xml:space="preserve">. </w:t>
      </w:r>
      <w:r w:rsidR="008F10EF">
        <w:t>For large frequency separation, t</w:t>
      </w:r>
      <w:r w:rsidR="0050130F">
        <w:t xml:space="preserve">he mismatch between the spatial coverage of the two CCs needs to be quantified. Preliminary simulations </w:t>
      </w:r>
      <w:r w:rsidR="0034256E">
        <w:t>find</w:t>
      </w:r>
      <w:r w:rsidR="0050130F">
        <w:t xml:space="preserve"> </w:t>
      </w:r>
      <w:r w:rsidR="008F10EF">
        <w:t xml:space="preserve">~ </w:t>
      </w:r>
      <w:r w:rsidR="0050130F">
        <w:t>2dB relaxation on each CC to enable the UE to achieve the 50% common spherical coverage between two CCs</w:t>
      </w:r>
      <w:r w:rsidR="008F10EF">
        <w:t>.</w:t>
      </w:r>
      <w:r w:rsidRPr="002E669F">
        <w:t xml:space="preserve"> </w:t>
      </w:r>
    </w:p>
    <w:p w14:paraId="68A87CFA" w14:textId="098CC0C6" w:rsidR="0034256E" w:rsidRPr="00F51298" w:rsidRDefault="0034256E" w:rsidP="0034256E">
      <w:pPr>
        <w:rPr>
          <w:b/>
          <w:bCs/>
        </w:rPr>
      </w:pPr>
      <w:r w:rsidRPr="00F51298">
        <w:rPr>
          <w:b/>
          <w:bCs/>
        </w:rPr>
        <w:t xml:space="preserve">Observation 3: For co-located scenarios, both CBM and IBM could define common coverage </w:t>
      </w:r>
    </w:p>
    <w:p w14:paraId="74F7A7EA" w14:textId="5E919324" w:rsidR="00B06F3F" w:rsidRPr="002E669F" w:rsidRDefault="00B06F3F" w:rsidP="008C61F9">
      <w:pPr>
        <w:rPr>
          <w:b/>
          <w:bCs/>
          <w:u w:val="single"/>
        </w:rPr>
      </w:pPr>
      <w:r w:rsidRPr="002E669F">
        <w:rPr>
          <w:b/>
          <w:bCs/>
          <w:u w:val="single"/>
        </w:rPr>
        <w:lastRenderedPageBreak/>
        <w:t>Non-</w:t>
      </w:r>
      <w:r w:rsidR="004105FD">
        <w:rPr>
          <w:b/>
          <w:bCs/>
          <w:u w:val="single"/>
        </w:rPr>
        <w:t>c</w:t>
      </w:r>
      <w:r w:rsidRPr="002E669F">
        <w:rPr>
          <w:b/>
          <w:bCs/>
          <w:u w:val="single"/>
        </w:rPr>
        <w:t>o</w:t>
      </w:r>
      <w:r w:rsidR="00771D7B" w:rsidRPr="002E669F">
        <w:rPr>
          <w:b/>
          <w:bCs/>
          <w:u w:val="single"/>
        </w:rPr>
        <w:t>-</w:t>
      </w:r>
      <w:r w:rsidRPr="002E669F">
        <w:rPr>
          <w:b/>
          <w:bCs/>
          <w:u w:val="single"/>
        </w:rPr>
        <w:t xml:space="preserve">located </w:t>
      </w:r>
      <w:r w:rsidR="0050130F">
        <w:rPr>
          <w:b/>
          <w:bCs/>
          <w:u w:val="single"/>
        </w:rPr>
        <w:t>s</w:t>
      </w:r>
      <w:r w:rsidRPr="002E669F">
        <w:rPr>
          <w:b/>
          <w:bCs/>
          <w:u w:val="single"/>
        </w:rPr>
        <w:t>cenarios:</w:t>
      </w:r>
    </w:p>
    <w:p w14:paraId="091ED0A5" w14:textId="77777777" w:rsidR="0034256E" w:rsidRDefault="00772999" w:rsidP="004105FD">
      <w:r>
        <w:t>The</w:t>
      </w:r>
      <w:r w:rsidR="00E158B8" w:rsidRPr="002E669F">
        <w:t xml:space="preserve"> IBM </w:t>
      </w:r>
      <w:r w:rsidR="00771D7B" w:rsidRPr="002E669F">
        <w:t xml:space="preserve">UEs under </w:t>
      </w:r>
      <w:r w:rsidR="00E158B8" w:rsidRPr="002E669F">
        <w:t>non-co</w:t>
      </w:r>
      <w:r w:rsidR="00771D7B" w:rsidRPr="002E669F">
        <w:t>-</w:t>
      </w:r>
      <w:r w:rsidR="00E158B8" w:rsidRPr="002E669F">
        <w:t>located deployment scenario</w:t>
      </w:r>
      <w:r w:rsidR="0050130F">
        <w:t xml:space="preserve"> supports independent beam steering for each band.</w:t>
      </w:r>
      <w:r w:rsidR="00E158B8" w:rsidRPr="002E669F">
        <w:t xml:space="preserve"> </w:t>
      </w:r>
      <w:r w:rsidR="0050130F">
        <w:t>I</w:t>
      </w:r>
      <w:r w:rsidR="003741E9" w:rsidRPr="002E669F">
        <w:t xml:space="preserve">t is </w:t>
      </w:r>
      <w:r w:rsidR="00771D7B" w:rsidRPr="002E669F">
        <w:t>very hard</w:t>
      </w:r>
      <w:r w:rsidR="003741E9" w:rsidRPr="002E669F">
        <w:t xml:space="preserve"> to</w:t>
      </w:r>
      <w:r w:rsidR="00771D7B" w:rsidRPr="002E669F">
        <w:t xml:space="preserve"> evaluate DL beam angles between cells</w:t>
      </w:r>
      <w:r w:rsidR="0050130F">
        <w:t xml:space="preserve"> and the concept of common coverage </w:t>
      </w:r>
      <w:r w:rsidR="0034256E">
        <w:t>under</w:t>
      </w:r>
      <w:r>
        <w:t xml:space="preserve"> such scenario </w:t>
      </w:r>
      <w:r w:rsidR="0050130F">
        <w:t xml:space="preserve">is questionable. </w:t>
      </w:r>
      <w:r w:rsidR="00E86033" w:rsidRPr="002E669F">
        <w:t xml:space="preserve">For Rel-16, the test of inter-band CA spherical coverage is limited to a single </w:t>
      </w:r>
      <w:proofErr w:type="spellStart"/>
      <w:r w:rsidR="00E86033" w:rsidRPr="002E669F">
        <w:t>Ao</w:t>
      </w:r>
      <w:r w:rsidR="004105FD">
        <w:t>A</w:t>
      </w:r>
      <w:proofErr w:type="spellEnd"/>
      <w:r w:rsidR="00E86033" w:rsidRPr="002E669F">
        <w:t xml:space="preserve">, so </w:t>
      </w:r>
      <w:r w:rsidR="00771D7B" w:rsidRPr="002E669F">
        <w:t>it would not be possible to define RF requirements to test that UE supports</w:t>
      </w:r>
      <w:r w:rsidR="003741E9" w:rsidRPr="002E669F">
        <w:t xml:space="preserve"> two </w:t>
      </w:r>
      <w:proofErr w:type="spellStart"/>
      <w:r w:rsidR="003741E9" w:rsidRPr="002E669F">
        <w:t>AoA</w:t>
      </w:r>
      <w:proofErr w:type="spellEnd"/>
      <w:r w:rsidR="003741E9" w:rsidRPr="002E669F">
        <w:t>.</w:t>
      </w:r>
      <w:r w:rsidR="00771D7B" w:rsidRPr="002E669F">
        <w:t xml:space="preserve"> </w:t>
      </w:r>
      <w:r w:rsidR="00E86033" w:rsidRPr="002E669F">
        <w:t xml:space="preserve"> </w:t>
      </w:r>
    </w:p>
    <w:p w14:paraId="394BDAEE" w14:textId="214B63DB" w:rsidR="0034256E" w:rsidRPr="002E669F" w:rsidRDefault="0034256E" w:rsidP="0034256E">
      <w:r w:rsidRPr="002E669F">
        <w:t xml:space="preserve">There is already an agreement to test inter-band CA spherical coverage with a single </w:t>
      </w:r>
      <w:proofErr w:type="spellStart"/>
      <w:r w:rsidRPr="002E669F">
        <w:t>AoA</w:t>
      </w:r>
      <w:proofErr w:type="spellEnd"/>
      <w:r w:rsidRPr="002E669F">
        <w:t xml:space="preserve"> [</w:t>
      </w:r>
      <w:r w:rsidR="00771FF3">
        <w:t>3</w:t>
      </w:r>
      <w:r w:rsidRPr="002E669F">
        <w:t>]</w:t>
      </w:r>
    </w:p>
    <w:p w14:paraId="2E1A9E40" w14:textId="77777777" w:rsidR="0034256E" w:rsidRPr="002E669F" w:rsidRDefault="0034256E" w:rsidP="0034256E">
      <w:pPr>
        <w:numPr>
          <w:ilvl w:val="0"/>
          <w:numId w:val="20"/>
        </w:numPr>
        <w:autoSpaceDE/>
        <w:autoSpaceDN/>
        <w:adjustRightInd/>
        <w:snapToGrid/>
        <w:spacing w:after="0"/>
        <w:jc w:val="left"/>
        <w:rPr>
          <w:i/>
        </w:rPr>
      </w:pPr>
      <w:r w:rsidRPr="002E669F">
        <w:rPr>
          <w:i/>
        </w:rPr>
        <w:t xml:space="preserve">Spherical coverage requirements for inter-band CA are tested from single </w:t>
      </w:r>
      <w:proofErr w:type="spellStart"/>
      <w:r w:rsidRPr="002E669F">
        <w:rPr>
          <w:i/>
        </w:rPr>
        <w:t>AoA</w:t>
      </w:r>
      <w:proofErr w:type="spellEnd"/>
      <w:r w:rsidRPr="002E669F">
        <w:rPr>
          <w:i/>
        </w:rPr>
        <w:t xml:space="preserve"> for Rel-16 if the following testability solution can be provided.</w:t>
      </w:r>
    </w:p>
    <w:p w14:paraId="4E35C328" w14:textId="77777777" w:rsidR="0034256E" w:rsidRPr="002E669F" w:rsidRDefault="0034256E" w:rsidP="0034256E">
      <w:pPr>
        <w:numPr>
          <w:ilvl w:val="1"/>
          <w:numId w:val="20"/>
        </w:numPr>
        <w:autoSpaceDE/>
        <w:autoSpaceDN/>
        <w:adjustRightInd/>
        <w:snapToGrid/>
        <w:spacing w:after="0"/>
        <w:jc w:val="left"/>
        <w:rPr>
          <w:i/>
        </w:rPr>
      </w:pPr>
      <w:r w:rsidRPr="002E669F">
        <w:rPr>
          <w:i/>
        </w:rPr>
        <w:t>Testability SI will study the TE capability of transmitting 28 GHz + 39 GHz, 28 GHz + 28 GHz, or 39 GHz + 39GHz from same direction simultaneously.</w:t>
      </w:r>
    </w:p>
    <w:p w14:paraId="4DB1492A" w14:textId="77777777" w:rsidR="0034256E" w:rsidRDefault="0034256E" w:rsidP="004105FD"/>
    <w:p w14:paraId="3195F2B0" w14:textId="7A743512" w:rsidR="004105FD" w:rsidRPr="00F51298" w:rsidRDefault="0034256E" w:rsidP="004105FD">
      <w:pPr>
        <w:rPr>
          <w:b/>
          <w:bCs/>
        </w:rPr>
      </w:pPr>
      <w:r w:rsidRPr="00F51298">
        <w:rPr>
          <w:b/>
          <w:bCs/>
        </w:rPr>
        <w:t xml:space="preserve">Observation 4: </w:t>
      </w:r>
      <w:r w:rsidR="00E86033" w:rsidRPr="00F51298">
        <w:rPr>
          <w:b/>
          <w:bCs/>
        </w:rPr>
        <w:t xml:space="preserve">For </w:t>
      </w:r>
      <w:r w:rsidR="004105FD" w:rsidRPr="00F51298">
        <w:rPr>
          <w:b/>
          <w:bCs/>
        </w:rPr>
        <w:t xml:space="preserve">non-co-located </w:t>
      </w:r>
      <w:r w:rsidR="00771FF3" w:rsidRPr="00F51298">
        <w:rPr>
          <w:b/>
          <w:bCs/>
        </w:rPr>
        <w:t>scenario</w:t>
      </w:r>
      <w:r w:rsidR="00771FF3">
        <w:rPr>
          <w:b/>
          <w:bCs/>
        </w:rPr>
        <w:t>s</w:t>
      </w:r>
      <w:r w:rsidR="007A0CBB">
        <w:rPr>
          <w:b/>
          <w:bCs/>
        </w:rPr>
        <w:t>,</w:t>
      </w:r>
      <w:r w:rsidR="00BB2F8A" w:rsidRPr="00F51298">
        <w:rPr>
          <w:b/>
          <w:bCs/>
        </w:rPr>
        <w:t xml:space="preserve"> the “common </w:t>
      </w:r>
      <w:r w:rsidR="00A447E3" w:rsidRPr="00F51298">
        <w:rPr>
          <w:b/>
          <w:bCs/>
        </w:rPr>
        <w:t>spherical</w:t>
      </w:r>
      <w:r w:rsidR="00BB2F8A" w:rsidRPr="00F51298">
        <w:rPr>
          <w:b/>
          <w:bCs/>
        </w:rPr>
        <w:t xml:space="preserve"> coverage</w:t>
      </w:r>
      <w:r w:rsidR="00041AD7" w:rsidRPr="00F51298">
        <w:rPr>
          <w:b/>
          <w:bCs/>
        </w:rPr>
        <w:t>”</w:t>
      </w:r>
      <w:r w:rsidR="00E86033" w:rsidRPr="00F51298">
        <w:rPr>
          <w:b/>
          <w:bCs/>
        </w:rPr>
        <w:t xml:space="preserve"> requirement</w:t>
      </w:r>
      <w:r w:rsidR="00BB2F8A" w:rsidRPr="00F51298">
        <w:rPr>
          <w:b/>
          <w:bCs/>
        </w:rPr>
        <w:t xml:space="preserve"> is not </w:t>
      </w:r>
      <w:r w:rsidR="00E86033" w:rsidRPr="00F51298">
        <w:rPr>
          <w:b/>
          <w:bCs/>
        </w:rPr>
        <w:t>applicable.</w:t>
      </w:r>
      <w:r w:rsidR="00243661" w:rsidRPr="00F51298">
        <w:rPr>
          <w:b/>
          <w:bCs/>
        </w:rPr>
        <w:t xml:space="preserve"> </w:t>
      </w:r>
    </w:p>
    <w:p w14:paraId="44BFCB6A" w14:textId="5593C723" w:rsidR="004105FD" w:rsidRDefault="00243661" w:rsidP="004105FD">
      <w:r>
        <w:t xml:space="preserve">This necessitates investigation </w:t>
      </w:r>
      <w:r w:rsidR="004105FD">
        <w:t xml:space="preserve">of </w:t>
      </w:r>
      <w:r w:rsidR="0050130F">
        <w:t>scenarios when the common coverage is applicable.  If common coverage is not applicable</w:t>
      </w:r>
      <w:r>
        <w:t xml:space="preserve"> for certain scenarios</w:t>
      </w:r>
      <w:r w:rsidR="0050130F">
        <w:t xml:space="preserve">, </w:t>
      </w:r>
      <w:r>
        <w:t>whether this should be presented as a capability.</w:t>
      </w:r>
      <w:r w:rsidR="00D5263A">
        <w:t xml:space="preserve"> T</w:t>
      </w:r>
      <w:r w:rsidR="00D5263A" w:rsidRPr="00D5263A">
        <w:rPr>
          <w:iCs/>
          <w:lang w:eastAsia="zh-CN"/>
        </w:rPr>
        <w:t xml:space="preserve">o indicate whether UE can support common </w:t>
      </w:r>
      <w:r w:rsidR="00D5263A" w:rsidRPr="00D5263A">
        <w:rPr>
          <w:lang w:eastAsia="zh-CN"/>
        </w:rPr>
        <w:t xml:space="preserve">spherical </w:t>
      </w:r>
      <w:r w:rsidR="00D5263A" w:rsidRPr="00D5263A">
        <w:rPr>
          <w:iCs/>
          <w:lang w:eastAsia="zh-CN"/>
        </w:rPr>
        <w:t>coverage or not</w:t>
      </w:r>
      <w:r w:rsidR="00D5263A">
        <w:rPr>
          <w:iCs/>
          <w:lang w:eastAsia="zh-CN"/>
        </w:rPr>
        <w:t>.</w:t>
      </w:r>
      <w:r>
        <w:t xml:space="preserve"> </w:t>
      </w:r>
    </w:p>
    <w:p w14:paraId="673D7F82" w14:textId="77777777" w:rsidR="00243661" w:rsidRDefault="00243661" w:rsidP="004105FD"/>
    <w:p w14:paraId="5BE19CAD" w14:textId="1DA17813" w:rsidR="006C6809" w:rsidRDefault="006C6809" w:rsidP="00EB33EB">
      <w:pPr>
        <w:pStyle w:val="Heading2"/>
      </w:pPr>
      <w:r w:rsidRPr="006C6809">
        <w:t>PSD difference during requirements testing for CBM band pairs</w:t>
      </w:r>
    </w:p>
    <w:p w14:paraId="234CEECD" w14:textId="689134ED" w:rsidR="00360C85" w:rsidRDefault="009C6BA0" w:rsidP="00360C85">
      <w:r>
        <w:t>For</w:t>
      </w:r>
      <w:r w:rsidR="00195BAA" w:rsidRPr="009058F7">
        <w:t xml:space="preserve"> CBM UEs </w:t>
      </w:r>
      <w:r w:rsidR="00041AD7">
        <w:t xml:space="preserve">under </w:t>
      </w:r>
      <w:r w:rsidR="00195BAA" w:rsidRPr="009058F7">
        <w:t>co-located scenario the power imbalance</w:t>
      </w:r>
      <w:r w:rsidR="00BF24BE">
        <w:t xml:space="preserve"> between the CCs</w:t>
      </w:r>
      <w:r w:rsidR="00195BAA" w:rsidRPr="009058F7">
        <w:t xml:space="preserve"> is expected to be small</w:t>
      </w:r>
      <w:r w:rsidR="00195BAA">
        <w:t>.</w:t>
      </w:r>
      <w:r w:rsidR="00195BAA" w:rsidRPr="009058F7">
        <w:t xml:space="preserve"> </w:t>
      </w:r>
      <w:r w:rsidR="00360C85">
        <w:t xml:space="preserve"> CBM UEs </w:t>
      </w:r>
      <w:r>
        <w:t xml:space="preserve">are </w:t>
      </w:r>
      <w:r w:rsidR="00360C85">
        <w:t xml:space="preserve">likely to share the same hardware components among bands, so any power imbalance causes a receiver SNR degradation from one CC to the other.  </w:t>
      </w:r>
      <w:r w:rsidR="00041AD7">
        <w:t xml:space="preserve">It has been shown that that </w:t>
      </w:r>
      <w:r w:rsidR="00360C85">
        <w:t xml:space="preserve">the power differences between CCs is </w:t>
      </w:r>
      <w:r w:rsidR="00041AD7">
        <w:t>non-zero (</w:t>
      </w:r>
      <w:r w:rsidR="00360C85">
        <w:t>larger than 0dB</w:t>
      </w:r>
      <w:r w:rsidR="00041AD7">
        <w:t>)</w:t>
      </w:r>
      <w:r>
        <w:t xml:space="preserve"> [</w:t>
      </w:r>
      <w:r w:rsidR="00771FF3">
        <w:t>4</w:t>
      </w:r>
      <w:r>
        <w:t>]</w:t>
      </w:r>
      <w:r w:rsidR="00360C85">
        <w:t>.</w:t>
      </w:r>
      <w:r w:rsidR="005C0BEF">
        <w:t xml:space="preserve">  </w:t>
      </w:r>
      <w:r w:rsidR="00A7706C">
        <w:t xml:space="preserve">Any </w:t>
      </w:r>
      <w:r w:rsidR="005C0BEF">
        <w:t>imbalance</w:t>
      </w:r>
      <w:r w:rsidR="00A7706C">
        <w:t>, however small,</w:t>
      </w:r>
      <w:r w:rsidR="005C0BEF">
        <w:t xml:space="preserve"> would appear as aggressor to the other.</w:t>
      </w:r>
      <w:r w:rsidR="00360C85">
        <w:t xml:space="preserve"> For CBM UEs, the power imbalance caused due to 28+28GHz or 39+39GHz </w:t>
      </w:r>
      <w:r w:rsidR="005C0BEF">
        <w:t>[equal] as per WF [2] but this value should be kept a non-zero value</w:t>
      </w:r>
      <w:r w:rsidR="00405857">
        <w:t xml:space="preserve">. </w:t>
      </w:r>
      <w:r w:rsidR="00360C85">
        <w:t xml:space="preserve">There is a growing consensus to minimize the PSD difference in the test condition.  </w:t>
      </w:r>
    </w:p>
    <w:p w14:paraId="2DFFDD66" w14:textId="3FE56936" w:rsidR="00360C85" w:rsidRDefault="00360C85" w:rsidP="00360C85">
      <w:r>
        <w:t>But for the 28 + 39GHz</w:t>
      </w:r>
      <w:r w:rsidR="00D5263A">
        <w:t xml:space="preserve"> case,</w:t>
      </w:r>
      <w:r>
        <w:t xml:space="preserve"> </w:t>
      </w:r>
      <w:r w:rsidR="00CB37B4">
        <w:t xml:space="preserve">the </w:t>
      </w:r>
      <w:r w:rsidR="00E83E66">
        <w:t xml:space="preserve">peak </w:t>
      </w:r>
      <w:r w:rsidR="00CB37B4">
        <w:t>power imbalance between the CCs is in the order of 20 – 30dB</w:t>
      </w:r>
      <w:r w:rsidR="00E83E66">
        <w:t>, with average around 6.5dB [</w:t>
      </w:r>
      <w:r w:rsidR="00A672A4">
        <w:t>4</w:t>
      </w:r>
      <w:r w:rsidR="00E83E66">
        <w:t>]</w:t>
      </w:r>
      <w:r w:rsidR="00CB37B4">
        <w:t>. First</w:t>
      </w:r>
      <w:r w:rsidR="00041AD7">
        <w:t xml:space="preserve">ly, the </w:t>
      </w:r>
      <w:r w:rsidR="00CB37B4">
        <w:t xml:space="preserve">frequency separation </w:t>
      </w:r>
      <w:r w:rsidR="00041AD7">
        <w:t xml:space="preserve">is the main contributor that </w:t>
      </w:r>
      <w:r w:rsidR="00CB37B4">
        <w:t xml:space="preserve">causes </w:t>
      </w:r>
      <w:r w:rsidR="00041AD7">
        <w:t xml:space="preserve">this huge PSD imbalance. </w:t>
      </w:r>
      <w:r w:rsidR="00CB37B4">
        <w:t>Secondly, the array gain difference between the different panels used for 28GHz and 39GHz</w:t>
      </w:r>
      <w:r w:rsidR="00041AD7">
        <w:t xml:space="preserve"> is another contributor</w:t>
      </w:r>
      <w:r w:rsidR="00CB37B4">
        <w:t xml:space="preserve">. </w:t>
      </w:r>
      <w:r w:rsidR="00A454A1">
        <w:t xml:space="preserve">If the </w:t>
      </w:r>
      <w:r w:rsidR="00041AD7">
        <w:t xml:space="preserve">CC from </w:t>
      </w:r>
      <w:proofErr w:type="spellStart"/>
      <w:r w:rsidR="00041AD7">
        <w:t>Scell</w:t>
      </w:r>
      <w:proofErr w:type="spellEnd"/>
      <w:r w:rsidR="00A454A1">
        <w:t xml:space="preserve"> is continued to be drowned by the </w:t>
      </w:r>
      <w:r w:rsidR="00D5263A">
        <w:t xml:space="preserve">PSD of </w:t>
      </w:r>
      <w:r w:rsidR="00041AD7">
        <w:t xml:space="preserve">CC in </w:t>
      </w:r>
      <w:proofErr w:type="spellStart"/>
      <w:r w:rsidR="00A454A1">
        <w:t>Pcell</w:t>
      </w:r>
      <w:proofErr w:type="spellEnd"/>
      <w:r w:rsidR="00A454A1">
        <w:t xml:space="preserve">, then most likely </w:t>
      </w:r>
      <w:proofErr w:type="spellStart"/>
      <w:r w:rsidR="00A454A1">
        <w:t>Scell</w:t>
      </w:r>
      <w:proofErr w:type="spellEnd"/>
      <w:r w:rsidR="00A454A1">
        <w:t xml:space="preserve"> will be deactivated. If this is the case, IBM may be better suited to handle the 28 +39GHz. </w:t>
      </w:r>
    </w:p>
    <w:p w14:paraId="237DB9F2" w14:textId="4F2C4E1A" w:rsidR="00D22504" w:rsidRDefault="00A454A1" w:rsidP="00360C85">
      <w:r>
        <w:t>For IBM UE</w:t>
      </w:r>
      <w:r w:rsidR="00771FF3">
        <w:t>s</w:t>
      </w:r>
      <w:r>
        <w:t>, it is assumed to support both collocated and non-collocated deployment.  For IBM band pairs, a</w:t>
      </w:r>
      <w:r w:rsidRPr="000C6F35">
        <w:t xml:space="preserve"> large PSD difference up to 30 dB is</w:t>
      </w:r>
      <w:r w:rsidR="00041AD7">
        <w:t xml:space="preserve"> an expected</w:t>
      </w:r>
      <w:r w:rsidRPr="000C6F35">
        <w:t xml:space="preserve"> require</w:t>
      </w:r>
      <w:r w:rsidR="00041AD7">
        <w:t>ment</w:t>
      </w:r>
      <w:r>
        <w:t xml:space="preserve"> as these UEs are expected to receive </w:t>
      </w:r>
      <w:r w:rsidR="00BC0120">
        <w:t xml:space="preserve">beams </w:t>
      </w:r>
      <w:r>
        <w:t>in all angles.</w:t>
      </w:r>
      <w:r w:rsidRPr="000C6F35">
        <w:t xml:space="preserve"> </w:t>
      </w:r>
      <w:r w:rsidR="00D22504">
        <w:t xml:space="preserve"> As agreed in WF [</w:t>
      </w:r>
      <w:r w:rsidR="00A672A4">
        <w:t>5</w:t>
      </w:r>
      <w:r w:rsidR="00D22504">
        <w:t>]:</w:t>
      </w:r>
    </w:p>
    <w:p w14:paraId="15425C62" w14:textId="2A90D981" w:rsidR="00D22504" w:rsidRPr="00AD51E6" w:rsidRDefault="00D22504" w:rsidP="00360C85">
      <w:pPr>
        <w:rPr>
          <w:i/>
          <w:iCs/>
        </w:rPr>
      </w:pPr>
      <w:r w:rsidRPr="00AD51E6">
        <w:rPr>
          <w:i/>
          <w:iCs/>
        </w:rPr>
        <w:t>IBM band pair requirements</w:t>
      </w:r>
    </w:p>
    <w:p w14:paraId="69BD9B6B" w14:textId="77777777" w:rsidR="00D22504" w:rsidRPr="00AD51E6" w:rsidRDefault="00D22504" w:rsidP="00D22504">
      <w:pPr>
        <w:numPr>
          <w:ilvl w:val="0"/>
          <w:numId w:val="24"/>
        </w:numPr>
        <w:rPr>
          <w:i/>
          <w:iCs/>
        </w:rPr>
      </w:pPr>
      <w:r w:rsidRPr="00AD51E6">
        <w:rPr>
          <w:i/>
          <w:iCs/>
        </w:rPr>
        <w:t xml:space="preserve">PSD difference between bands in </w:t>
      </w:r>
      <w:proofErr w:type="spellStart"/>
      <w:r w:rsidRPr="00AD51E6">
        <w:rPr>
          <w:i/>
          <w:iCs/>
        </w:rPr>
        <w:t>Refsens</w:t>
      </w:r>
      <w:proofErr w:type="spellEnd"/>
      <w:r w:rsidRPr="00AD51E6">
        <w:rPr>
          <w:i/>
          <w:iCs/>
        </w:rPr>
        <w:t xml:space="preserve"> i.e. peak EIS: </w:t>
      </w:r>
    </w:p>
    <w:p w14:paraId="2A004498" w14:textId="77777777" w:rsidR="00D22504" w:rsidRPr="00AD51E6" w:rsidRDefault="00D22504" w:rsidP="00D22504">
      <w:pPr>
        <w:numPr>
          <w:ilvl w:val="1"/>
          <w:numId w:val="24"/>
        </w:numPr>
        <w:rPr>
          <w:i/>
          <w:iCs/>
        </w:rPr>
      </w:pPr>
      <w:r w:rsidRPr="00AD51E6">
        <w:rPr>
          <w:i/>
          <w:iCs/>
        </w:rPr>
        <w:t>Agree PSD difference is within a range[6.5 – 30] dB and RAN4 aims to agree one number in RAN4#95</w:t>
      </w:r>
    </w:p>
    <w:p w14:paraId="67544432" w14:textId="77777777" w:rsidR="00D22504" w:rsidRPr="00AD51E6" w:rsidRDefault="00D22504" w:rsidP="00D22504">
      <w:pPr>
        <w:numPr>
          <w:ilvl w:val="0"/>
          <w:numId w:val="24"/>
        </w:numPr>
        <w:rPr>
          <w:i/>
          <w:iCs/>
        </w:rPr>
      </w:pPr>
      <w:r w:rsidRPr="00AD51E6">
        <w:rPr>
          <w:i/>
          <w:iCs/>
        </w:rPr>
        <w:t xml:space="preserve">PSD difference between bands in EIS spherical coverage: </w:t>
      </w:r>
    </w:p>
    <w:p w14:paraId="26C92F39" w14:textId="77777777" w:rsidR="00D22504" w:rsidRPr="00AD51E6" w:rsidRDefault="00D22504" w:rsidP="00D22504">
      <w:pPr>
        <w:numPr>
          <w:ilvl w:val="1"/>
          <w:numId w:val="24"/>
        </w:numPr>
        <w:rPr>
          <w:i/>
          <w:iCs/>
        </w:rPr>
      </w:pPr>
      <w:r w:rsidRPr="00AD51E6">
        <w:rPr>
          <w:i/>
          <w:iCs/>
        </w:rPr>
        <w:t>Agree a range[6.5 – 30] dB and target to agree one number in RAN4#95</w:t>
      </w:r>
    </w:p>
    <w:p w14:paraId="795BCD28" w14:textId="77777777" w:rsidR="00D22504" w:rsidRDefault="00D22504" w:rsidP="00360C85"/>
    <w:p w14:paraId="725AE3E9" w14:textId="2BF77C94" w:rsidR="00195BAA" w:rsidRDefault="00A454A1" w:rsidP="00360C85">
      <w:r w:rsidRPr="000C6F35">
        <w:t>However, it is not practical to test such a huge PSD difference in OTA environment</w:t>
      </w:r>
      <w:r>
        <w:t xml:space="preserve">. So, a large PSD range is </w:t>
      </w:r>
      <w:r w:rsidRPr="000C6F35">
        <w:t>testability point of view; at least 6.5 dB should be taken as agreed</w:t>
      </w:r>
      <w:r w:rsidR="00D22504">
        <w:t>.</w:t>
      </w:r>
    </w:p>
    <w:p w14:paraId="36CA1ED5" w14:textId="6E770674" w:rsidR="000602F0" w:rsidRPr="00594465" w:rsidRDefault="00D22504" w:rsidP="008C61F9">
      <w:pPr>
        <w:rPr>
          <w:b/>
          <w:bCs/>
        </w:rPr>
      </w:pPr>
      <w:r w:rsidRPr="00594465">
        <w:rPr>
          <w:b/>
          <w:bCs/>
        </w:rPr>
        <w:t>Proposal</w:t>
      </w:r>
      <w:r w:rsidR="00594465" w:rsidRPr="00594465">
        <w:rPr>
          <w:b/>
          <w:bCs/>
        </w:rPr>
        <w:t xml:space="preserve"> 3</w:t>
      </w:r>
      <w:r w:rsidRPr="00594465">
        <w:rPr>
          <w:b/>
          <w:bCs/>
        </w:rPr>
        <w:t xml:space="preserve">: </w:t>
      </w:r>
      <w:r w:rsidR="00677094" w:rsidRPr="00594465">
        <w:rPr>
          <w:b/>
          <w:bCs/>
        </w:rPr>
        <w:t xml:space="preserve">For CBM L+L and H+H </w:t>
      </w:r>
      <w:r w:rsidR="00A7706C" w:rsidRPr="00594465">
        <w:rPr>
          <w:b/>
          <w:bCs/>
        </w:rPr>
        <w:t xml:space="preserve">PSD difference could be small but this non-zero value should be captured. For L+H and IBM the PSD </w:t>
      </w:r>
      <w:r w:rsidR="00AD51E6" w:rsidRPr="00594465">
        <w:rPr>
          <w:b/>
          <w:bCs/>
        </w:rPr>
        <w:t>difference could</w:t>
      </w:r>
      <w:r w:rsidR="00A7706C" w:rsidRPr="00594465">
        <w:rPr>
          <w:b/>
          <w:bCs/>
        </w:rPr>
        <w:t xml:space="preserve"> be large bur for testability point of view 6.5dB</w:t>
      </w:r>
      <w:r w:rsidR="00A30FB8" w:rsidRPr="00594465">
        <w:rPr>
          <w:b/>
          <w:bCs/>
        </w:rPr>
        <w:t xml:space="preserve"> can be agreed.</w:t>
      </w:r>
    </w:p>
    <w:p w14:paraId="3F8E2494" w14:textId="0A92CC8A" w:rsidR="00A05D01" w:rsidRDefault="0049256E" w:rsidP="007D638C">
      <w:pPr>
        <w:pStyle w:val="Heading2"/>
      </w:pPr>
      <w:r w:rsidRPr="0049256E">
        <w:lastRenderedPageBreak/>
        <w:t xml:space="preserve">On </w:t>
      </w:r>
      <w:r w:rsidR="00F17E6C">
        <w:t>MRTD</w:t>
      </w:r>
    </w:p>
    <w:p w14:paraId="64C7F706" w14:textId="24C00B86" w:rsidR="00D5263A" w:rsidRDefault="009F0CE1" w:rsidP="00D5263A">
      <w:r>
        <w:t>Under the understanding that the</w:t>
      </w:r>
      <w:r w:rsidR="00D5263A">
        <w:t xml:space="preserve"> MRTD value determination </w:t>
      </w:r>
      <w:r w:rsidR="000F3062">
        <w:t xml:space="preserve">is </w:t>
      </w:r>
      <w:r w:rsidR="00D5263A">
        <w:t>in RRM</w:t>
      </w:r>
      <w:r>
        <w:t xml:space="preserve">, this section only presents the </w:t>
      </w:r>
      <w:r w:rsidR="000F3062">
        <w:t xml:space="preserve">beam </w:t>
      </w:r>
      <w:r w:rsidR="00894CE4">
        <w:t>management capability</w:t>
      </w:r>
      <w:r w:rsidR="00D37E3E">
        <w:t xml:space="preserve"> aspects.</w:t>
      </w:r>
      <w:r>
        <w:t xml:space="preserve"> T</w:t>
      </w:r>
      <w:r w:rsidR="000F3062">
        <w:t xml:space="preserve">he deployment scenarios and possible modification of the MRTD </w:t>
      </w:r>
      <w:r>
        <w:t xml:space="preserve">value </w:t>
      </w:r>
      <w:r w:rsidR="00771FF3">
        <w:t xml:space="preserve">and </w:t>
      </w:r>
      <w:r>
        <w:t xml:space="preserve">determination </w:t>
      </w:r>
      <w:r w:rsidR="000F3062">
        <w:t>for inter-band CA combinations in FR2</w:t>
      </w:r>
      <w:r>
        <w:t xml:space="preserve"> are in RRM</w:t>
      </w:r>
      <w:r w:rsidR="000F3062">
        <w:t xml:space="preserve">. </w:t>
      </w:r>
    </w:p>
    <w:p w14:paraId="692D1248" w14:textId="76CA0DB2" w:rsidR="0028704F" w:rsidRDefault="009F0CE1" w:rsidP="00D5263A">
      <w:r>
        <w:t xml:space="preserve">Rel-15 defined </w:t>
      </w:r>
      <w:r w:rsidR="00D5263A">
        <w:t xml:space="preserve">MRTD </w:t>
      </w:r>
      <w:r>
        <w:t xml:space="preserve">values </w:t>
      </w:r>
      <w:r w:rsidR="000F3062">
        <w:rPr>
          <w:lang w:eastAsia="ja-JP"/>
        </w:rPr>
        <w:t>for inter-band FR2 CA</w:t>
      </w:r>
      <w:r>
        <w:rPr>
          <w:lang w:eastAsia="ja-JP"/>
        </w:rPr>
        <w:t xml:space="preserve">, however </w:t>
      </w:r>
      <w:r w:rsidR="00DD3894">
        <w:rPr>
          <w:lang w:eastAsia="ja-JP"/>
        </w:rPr>
        <w:t xml:space="preserve">inter-band FR2 CA </w:t>
      </w:r>
      <w:r>
        <w:rPr>
          <w:lang w:eastAsia="ja-JP"/>
        </w:rPr>
        <w:t>wa</w:t>
      </w:r>
      <w:r w:rsidR="00DD3894">
        <w:rPr>
          <w:lang w:eastAsia="ja-JP"/>
        </w:rPr>
        <w:t>s not supported in Rel.15</w:t>
      </w:r>
      <w:r w:rsidR="00894CE4" w:rsidRPr="00894CE4">
        <w:rPr>
          <w:lang w:eastAsia="ja-JP"/>
        </w:rPr>
        <w:t xml:space="preserve"> </w:t>
      </w:r>
      <w:r w:rsidR="00894CE4">
        <w:rPr>
          <w:lang w:eastAsia="ja-JP"/>
        </w:rPr>
        <w:t>due to the lack of RF requirements and band combinations.</w:t>
      </w:r>
      <w:r w:rsidR="00DD3894">
        <w:rPr>
          <w:lang w:eastAsia="ja-JP"/>
        </w:rPr>
        <w:t xml:space="preserve"> </w:t>
      </w:r>
      <w:r>
        <w:rPr>
          <w:lang w:eastAsia="ja-JP"/>
        </w:rPr>
        <w:t>In</w:t>
      </w:r>
      <w:r w:rsidR="00DD3894">
        <w:rPr>
          <w:lang w:eastAsia="ja-JP"/>
        </w:rPr>
        <w:t xml:space="preserve"> </w:t>
      </w:r>
      <w:r w:rsidR="00894CE4">
        <w:rPr>
          <w:lang w:eastAsia="ja-JP"/>
        </w:rPr>
        <w:t>Rel-15</w:t>
      </w:r>
      <w:r>
        <w:rPr>
          <w:lang w:eastAsia="ja-JP"/>
        </w:rPr>
        <w:t>,</w:t>
      </w:r>
      <w:r w:rsidR="00DD3894">
        <w:rPr>
          <w:lang w:eastAsia="ja-JP"/>
        </w:rPr>
        <w:t xml:space="preserve"> MRTD </w:t>
      </w:r>
      <w:r>
        <w:rPr>
          <w:lang w:eastAsia="ja-JP"/>
        </w:rPr>
        <w:t xml:space="preserve">value </w:t>
      </w:r>
      <w:r w:rsidR="00DD3894">
        <w:rPr>
          <w:lang w:eastAsia="ja-JP"/>
        </w:rPr>
        <w:t>determination a</w:t>
      </w:r>
      <w:r w:rsidR="00D5263A">
        <w:t>ssumed certain cell size and deployment scenarios</w:t>
      </w:r>
      <w:r>
        <w:t xml:space="preserve"> (~2.4km and non-co-located, etc.)</w:t>
      </w:r>
      <w:r w:rsidR="00D5263A">
        <w:t xml:space="preserve">. </w:t>
      </w:r>
      <w:r w:rsidR="0024196E">
        <w:t xml:space="preserve"> Rel-15 did not define or distinguish CBM or IBM.</w:t>
      </w:r>
      <w:r w:rsidR="00771FF3">
        <w:t xml:space="preserve">  So, for Rel-16, UE capabilities information can be considered for MRTD related discussions.</w:t>
      </w:r>
    </w:p>
    <w:p w14:paraId="18FC2818" w14:textId="77777777" w:rsidR="0028704F" w:rsidRDefault="0028704F" w:rsidP="00D5263A">
      <w:r>
        <w:t>Section 7.6.4 of TS 38.133 defines:</w:t>
      </w:r>
    </w:p>
    <w:p w14:paraId="566A78B8" w14:textId="77777777" w:rsidR="0028704F" w:rsidRDefault="0028704F" w:rsidP="0028704F">
      <w:pPr>
        <w:pStyle w:val="Heading3"/>
        <w:numPr>
          <w:ilvl w:val="0"/>
          <w:numId w:val="0"/>
        </w:numPr>
        <w:spacing w:before="0" w:after="0"/>
        <w:ind w:left="720" w:hanging="720"/>
        <w:rPr>
          <w:sz w:val="16"/>
          <w:szCs w:val="16"/>
          <w:lang w:eastAsia="ko-KR"/>
        </w:rPr>
      </w:pPr>
      <w:r>
        <w:rPr>
          <w:b w:val="0"/>
          <w:sz w:val="16"/>
          <w:szCs w:val="16"/>
          <w:lang w:eastAsia="ko-KR"/>
        </w:rPr>
        <w:t>7.6.</w:t>
      </w:r>
      <w:r>
        <w:rPr>
          <w:rFonts w:eastAsia="Malgun Gothic"/>
          <w:b w:val="0"/>
          <w:sz w:val="16"/>
          <w:szCs w:val="16"/>
          <w:lang w:eastAsia="ko-KR"/>
        </w:rPr>
        <w:t>4</w:t>
      </w:r>
      <w:r>
        <w:rPr>
          <w:b w:val="0"/>
          <w:sz w:val="16"/>
          <w:szCs w:val="16"/>
          <w:lang w:eastAsia="ko-KR"/>
        </w:rPr>
        <w:tab/>
        <w:t>Minimum Requirements for NR Carrier Aggregation</w:t>
      </w:r>
    </w:p>
    <w:p w14:paraId="4DA6122B" w14:textId="77777777" w:rsidR="0028704F" w:rsidRDefault="0028704F" w:rsidP="0028704F">
      <w:pPr>
        <w:spacing w:after="0"/>
        <w:rPr>
          <w:rFonts w:cs="v4.2.0"/>
          <w:sz w:val="16"/>
          <w:szCs w:val="16"/>
        </w:rPr>
      </w:pPr>
      <w:r>
        <w:rPr>
          <w:rFonts w:cs="v4.2.0"/>
          <w:sz w:val="16"/>
          <w:szCs w:val="16"/>
        </w:rPr>
        <w:t xml:space="preserve">For intra-band </w:t>
      </w:r>
      <w:r>
        <w:rPr>
          <w:rFonts w:eastAsia="Malgun Gothic" w:cs="v4.2.0"/>
          <w:sz w:val="16"/>
          <w:szCs w:val="16"/>
          <w:lang w:eastAsia="zh-CN"/>
        </w:rPr>
        <w:t>CA</w:t>
      </w:r>
      <w:r>
        <w:rPr>
          <w:rFonts w:cs="v4.2.0"/>
          <w:sz w:val="16"/>
          <w:szCs w:val="16"/>
        </w:rPr>
        <w:t>, only</w:t>
      </w:r>
      <w:r>
        <w:rPr>
          <w:rFonts w:cs="v4.2.0"/>
          <w:sz w:val="16"/>
          <w:szCs w:val="16"/>
          <w:lang w:eastAsia="zh-CN"/>
        </w:rPr>
        <w:t xml:space="preserve"> </w:t>
      </w:r>
      <w:r>
        <w:rPr>
          <w:rFonts w:cs="v4.2.0"/>
          <w:sz w:val="16"/>
          <w:szCs w:val="16"/>
        </w:rPr>
        <w:t xml:space="preserve">co-located deployment is </w:t>
      </w:r>
      <w:r>
        <w:rPr>
          <w:rFonts w:cs="v4.2.0"/>
          <w:sz w:val="16"/>
          <w:szCs w:val="16"/>
          <w:lang w:eastAsia="zh-CN"/>
        </w:rPr>
        <w:t>applied.</w:t>
      </w:r>
      <w:r>
        <w:rPr>
          <w:rFonts w:eastAsia="Malgun Gothic" w:cs="v4.2.0"/>
          <w:sz w:val="16"/>
          <w:szCs w:val="16"/>
          <w:lang w:eastAsia="zh-CN"/>
        </w:rPr>
        <w:t xml:space="preserve"> </w:t>
      </w:r>
      <w:r>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Pr>
          <w:rFonts w:eastAsia="Malgun Gothic" w:cs="v4.2.0"/>
          <w:sz w:val="16"/>
          <w:szCs w:val="16"/>
        </w:rPr>
        <w:t>4</w:t>
      </w:r>
      <w:r>
        <w:rPr>
          <w:rFonts w:cs="v4.2.0"/>
          <w:sz w:val="16"/>
          <w:szCs w:val="16"/>
        </w:rPr>
        <w:t>-1 below.</w:t>
      </w:r>
    </w:p>
    <w:p w14:paraId="7713E7F7" w14:textId="77777777" w:rsidR="0028704F" w:rsidRDefault="0028704F" w:rsidP="0028704F">
      <w:pPr>
        <w:pStyle w:val="TH"/>
        <w:spacing w:before="0" w:after="0"/>
        <w:rPr>
          <w:snapToGrid w:val="0"/>
          <w:sz w:val="16"/>
          <w:szCs w:val="16"/>
          <w:lang w:eastAsia="ko-KR"/>
        </w:rPr>
      </w:pPr>
      <w:r>
        <w:rPr>
          <w:snapToGrid w:val="0"/>
          <w:sz w:val="16"/>
          <w:szCs w:val="16"/>
        </w:rPr>
        <w:t>Table 7.6.4-1</w:t>
      </w:r>
      <w:r>
        <w:rPr>
          <w:snapToGrid w:val="0"/>
          <w:sz w:val="16"/>
          <w:szCs w:val="16"/>
          <w:lang w:eastAsia="ko-KR"/>
        </w:rPr>
        <w:t>:</w:t>
      </w:r>
      <w:r>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8704F" w14:paraId="4F3AD8DC"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51B6E198" w14:textId="77777777" w:rsidR="0028704F" w:rsidRDefault="0028704F" w:rsidP="0028704F">
            <w:pPr>
              <w:pStyle w:val="TAH"/>
              <w:rPr>
                <w:rFonts w:eastAsia="Times New Roman"/>
                <w:sz w:val="16"/>
                <w:szCs w:val="16"/>
                <w:lang w:eastAsia="en-GB"/>
              </w:rPr>
            </w:pPr>
            <w:r>
              <w:rPr>
                <w:sz w:val="16"/>
                <w:szCs w:val="16"/>
                <w:lang w:eastAsia="en-GB"/>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6FF96F97" w14:textId="77777777" w:rsidR="0028704F" w:rsidRDefault="0028704F" w:rsidP="0028704F">
            <w:pPr>
              <w:pStyle w:val="TAH"/>
              <w:rPr>
                <w:sz w:val="16"/>
                <w:szCs w:val="16"/>
                <w:lang w:eastAsia="en-GB"/>
              </w:rPr>
            </w:pPr>
            <w:r>
              <w:rPr>
                <w:sz w:val="16"/>
                <w:szCs w:val="16"/>
                <w:lang w:eastAsia="en-GB"/>
              </w:rPr>
              <w:t xml:space="preserve">Maximum receive timing difference (µs) </w:t>
            </w:r>
          </w:p>
        </w:tc>
      </w:tr>
      <w:tr w:rsidR="0028704F" w14:paraId="2026FE4B"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1F9E4412" w14:textId="77777777" w:rsidR="0028704F" w:rsidRDefault="0028704F" w:rsidP="0028704F">
            <w:pPr>
              <w:pStyle w:val="TAC"/>
              <w:rPr>
                <w:sz w:val="16"/>
                <w:szCs w:val="16"/>
                <w:lang w:eastAsia="en-GB"/>
              </w:rPr>
            </w:pPr>
            <w:r>
              <w:rPr>
                <w:sz w:val="16"/>
                <w:szCs w:val="16"/>
                <w:lang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15A61958" w14:textId="77777777" w:rsidR="0028704F" w:rsidRDefault="0028704F" w:rsidP="0028704F">
            <w:pPr>
              <w:pStyle w:val="TAC"/>
              <w:rPr>
                <w:sz w:val="16"/>
                <w:szCs w:val="16"/>
                <w:lang w:eastAsia="en-GB"/>
              </w:rPr>
            </w:pPr>
            <w:r>
              <w:rPr>
                <w:sz w:val="16"/>
                <w:szCs w:val="16"/>
                <w:lang w:eastAsia="en-GB"/>
              </w:rPr>
              <w:t>3</w:t>
            </w:r>
            <w:r>
              <w:rPr>
                <w:sz w:val="16"/>
                <w:szCs w:val="16"/>
                <w:vertAlign w:val="superscript"/>
                <w:lang w:eastAsia="en-GB"/>
              </w:rPr>
              <w:t>1</w:t>
            </w:r>
          </w:p>
        </w:tc>
      </w:tr>
      <w:tr w:rsidR="0028704F" w14:paraId="083F95A5"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12F63500" w14:textId="77777777" w:rsidR="0028704F" w:rsidRDefault="0028704F" w:rsidP="0028704F">
            <w:pPr>
              <w:pStyle w:val="TAC"/>
              <w:rPr>
                <w:sz w:val="16"/>
                <w:szCs w:val="16"/>
                <w:lang w:eastAsia="en-GB"/>
              </w:rPr>
            </w:pPr>
            <w:r>
              <w:rPr>
                <w:sz w:val="16"/>
                <w:szCs w:val="16"/>
                <w:lang w:eastAsia="en-GB"/>
              </w:rPr>
              <w:t>FR2</w:t>
            </w:r>
          </w:p>
        </w:tc>
        <w:tc>
          <w:tcPr>
            <w:tcW w:w="3003" w:type="dxa"/>
            <w:tcBorders>
              <w:top w:val="single" w:sz="4" w:space="0" w:color="auto"/>
              <w:left w:val="single" w:sz="4" w:space="0" w:color="auto"/>
              <w:bottom w:val="single" w:sz="4" w:space="0" w:color="auto"/>
              <w:right w:val="single" w:sz="4" w:space="0" w:color="auto"/>
            </w:tcBorders>
            <w:hideMark/>
          </w:tcPr>
          <w:p w14:paraId="0A5C0BDB" w14:textId="77777777" w:rsidR="0028704F" w:rsidRDefault="0028704F" w:rsidP="0028704F">
            <w:pPr>
              <w:pStyle w:val="TAC"/>
              <w:rPr>
                <w:sz w:val="16"/>
                <w:szCs w:val="16"/>
                <w:lang w:eastAsia="en-GB"/>
              </w:rPr>
            </w:pPr>
            <w:r>
              <w:rPr>
                <w:sz w:val="16"/>
                <w:szCs w:val="16"/>
                <w:lang w:eastAsia="en-GB"/>
              </w:rPr>
              <w:t>0.26</w:t>
            </w:r>
          </w:p>
        </w:tc>
      </w:tr>
      <w:tr w:rsidR="0028704F" w14:paraId="1E881140" w14:textId="77777777" w:rsidTr="0028704F">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A5CA08E" w14:textId="77777777" w:rsidR="0028704F" w:rsidRDefault="0028704F" w:rsidP="0028704F">
            <w:pPr>
              <w:pStyle w:val="TAN"/>
              <w:rPr>
                <w:sz w:val="16"/>
                <w:szCs w:val="16"/>
                <w:lang w:eastAsia="en-GB"/>
              </w:rPr>
            </w:pPr>
            <w:r>
              <w:rPr>
                <w:rFonts w:eastAsia="Yu Mincho"/>
                <w:sz w:val="16"/>
                <w:szCs w:val="16"/>
                <w:lang w:eastAsia="ja-JP"/>
              </w:rPr>
              <w:t>Note 1:</w:t>
            </w:r>
            <w:r>
              <w:rPr>
                <w:sz w:val="16"/>
                <w:szCs w:val="16"/>
                <w:lang w:eastAsia="en-GB"/>
              </w:rPr>
              <w:t xml:space="preserve"> </w:t>
            </w:r>
            <w:r>
              <w:rPr>
                <w:sz w:val="16"/>
                <w:szCs w:val="16"/>
                <w:lang w:eastAsia="en-GB"/>
              </w:rPr>
              <w:tab/>
            </w:r>
            <w:r>
              <w:rPr>
                <w:sz w:val="16"/>
                <w:szCs w:val="16"/>
                <w:lang w:eastAsia="ja-JP"/>
              </w:rPr>
              <w:t>In the case of different SCS on different CCs, if the receive time difference exceeds the cyclic prefix length of that SCS, demodulation performance degradation is expected for the first symbol of the slot.</w:t>
            </w:r>
          </w:p>
        </w:tc>
      </w:tr>
    </w:tbl>
    <w:p w14:paraId="650A776D" w14:textId="77777777" w:rsidR="0028704F" w:rsidRDefault="0028704F" w:rsidP="0028704F">
      <w:pPr>
        <w:spacing w:after="0"/>
        <w:rPr>
          <w:i/>
          <w:sz w:val="16"/>
          <w:szCs w:val="16"/>
          <w:lang w:val="en-GB"/>
        </w:rPr>
      </w:pPr>
    </w:p>
    <w:p w14:paraId="5D946CC2" w14:textId="77777777" w:rsidR="0028704F" w:rsidRDefault="0028704F" w:rsidP="0028704F">
      <w:pPr>
        <w:spacing w:after="0"/>
        <w:rPr>
          <w:sz w:val="16"/>
          <w:szCs w:val="16"/>
        </w:rPr>
      </w:pPr>
      <w:r>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Pr>
          <w:rFonts w:eastAsia="Malgun Gothic" w:cs="v4.2.0"/>
          <w:sz w:val="16"/>
          <w:szCs w:val="16"/>
        </w:rPr>
        <w:t>4</w:t>
      </w:r>
      <w:r>
        <w:rPr>
          <w:rFonts w:cs="v4.2.0"/>
          <w:sz w:val="16"/>
          <w:szCs w:val="16"/>
        </w:rPr>
        <w:t>-2 below.</w:t>
      </w:r>
    </w:p>
    <w:p w14:paraId="221D385A" w14:textId="77777777" w:rsidR="0028704F" w:rsidRDefault="0028704F" w:rsidP="0028704F">
      <w:pPr>
        <w:pStyle w:val="TH"/>
        <w:spacing w:before="0" w:after="0"/>
        <w:rPr>
          <w:sz w:val="16"/>
          <w:szCs w:val="16"/>
          <w:lang w:eastAsia="ko-KR"/>
        </w:rPr>
      </w:pPr>
      <w:r>
        <w:rPr>
          <w:sz w:val="16"/>
          <w:szCs w:val="16"/>
        </w:rPr>
        <w:t>Table 7.6.4-2</w:t>
      </w:r>
      <w:r>
        <w:rPr>
          <w:sz w:val="16"/>
          <w:szCs w:val="16"/>
          <w:lang w:eastAsia="ko-KR"/>
        </w:rPr>
        <w:t>:</w:t>
      </w:r>
      <w:r>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8704F" w14:paraId="10CC5894"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5607A16C" w14:textId="77777777" w:rsidR="0028704F" w:rsidRDefault="0028704F" w:rsidP="0028704F">
            <w:pPr>
              <w:pStyle w:val="TAH"/>
              <w:rPr>
                <w:rFonts w:eastAsia="Times New Roman"/>
                <w:sz w:val="16"/>
                <w:szCs w:val="16"/>
                <w:lang w:eastAsia="en-GB"/>
              </w:rPr>
            </w:pPr>
            <w:r>
              <w:rPr>
                <w:sz w:val="16"/>
                <w:szCs w:val="16"/>
                <w:lang w:eastAsia="en-G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7DC88612" w14:textId="77777777" w:rsidR="0028704F" w:rsidRDefault="0028704F" w:rsidP="0028704F">
            <w:pPr>
              <w:pStyle w:val="TAH"/>
              <w:rPr>
                <w:sz w:val="16"/>
                <w:szCs w:val="16"/>
                <w:lang w:eastAsia="en-GB"/>
              </w:rPr>
            </w:pPr>
            <w:r>
              <w:rPr>
                <w:sz w:val="16"/>
                <w:szCs w:val="16"/>
                <w:lang w:eastAsia="en-GB"/>
              </w:rPr>
              <w:t xml:space="preserve">Maximum receive timing difference (µs) </w:t>
            </w:r>
          </w:p>
        </w:tc>
      </w:tr>
      <w:tr w:rsidR="0028704F" w14:paraId="6F683CFD"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0A6ED8F2" w14:textId="77777777" w:rsidR="0028704F" w:rsidRDefault="0028704F" w:rsidP="0028704F">
            <w:pPr>
              <w:pStyle w:val="TAC"/>
              <w:rPr>
                <w:sz w:val="16"/>
                <w:szCs w:val="16"/>
                <w:lang w:eastAsia="en-GB"/>
              </w:rPr>
            </w:pPr>
            <w:r>
              <w:rPr>
                <w:sz w:val="16"/>
                <w:szCs w:val="16"/>
                <w:lang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598571B6" w14:textId="77777777" w:rsidR="0028704F" w:rsidRDefault="0028704F" w:rsidP="0028704F">
            <w:pPr>
              <w:pStyle w:val="TAC"/>
              <w:rPr>
                <w:sz w:val="16"/>
                <w:szCs w:val="16"/>
                <w:lang w:eastAsia="en-GB"/>
              </w:rPr>
            </w:pPr>
            <w:r>
              <w:rPr>
                <w:sz w:val="16"/>
                <w:szCs w:val="16"/>
                <w:lang w:eastAsia="en-GB"/>
              </w:rPr>
              <w:t>33</w:t>
            </w:r>
          </w:p>
        </w:tc>
      </w:tr>
      <w:tr w:rsidR="0028704F" w14:paraId="320F8FC7"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0CF8A901" w14:textId="77777777" w:rsidR="0028704F" w:rsidRDefault="0028704F" w:rsidP="0028704F">
            <w:pPr>
              <w:pStyle w:val="TAC"/>
              <w:rPr>
                <w:sz w:val="16"/>
                <w:szCs w:val="16"/>
                <w:lang w:eastAsia="en-GB"/>
              </w:rPr>
            </w:pPr>
            <w:r>
              <w:rPr>
                <w:sz w:val="16"/>
                <w:szCs w:val="16"/>
                <w:lang w:eastAsia="en-GB"/>
              </w:rPr>
              <w:t>FR2</w:t>
            </w:r>
          </w:p>
        </w:tc>
        <w:tc>
          <w:tcPr>
            <w:tcW w:w="3003" w:type="dxa"/>
            <w:tcBorders>
              <w:top w:val="single" w:sz="4" w:space="0" w:color="auto"/>
              <w:left w:val="single" w:sz="4" w:space="0" w:color="auto"/>
              <w:bottom w:val="single" w:sz="4" w:space="0" w:color="auto"/>
              <w:right w:val="single" w:sz="4" w:space="0" w:color="auto"/>
            </w:tcBorders>
            <w:hideMark/>
          </w:tcPr>
          <w:p w14:paraId="3A783ED7" w14:textId="77777777" w:rsidR="0028704F" w:rsidRDefault="0028704F" w:rsidP="0028704F">
            <w:pPr>
              <w:pStyle w:val="TAC"/>
              <w:rPr>
                <w:sz w:val="16"/>
                <w:szCs w:val="16"/>
                <w:lang w:eastAsia="en-GB"/>
              </w:rPr>
            </w:pPr>
            <w:r>
              <w:rPr>
                <w:sz w:val="16"/>
                <w:szCs w:val="16"/>
                <w:lang w:eastAsia="en-GB"/>
              </w:rPr>
              <w:t>8</w:t>
            </w:r>
          </w:p>
        </w:tc>
      </w:tr>
      <w:tr w:rsidR="0028704F" w14:paraId="2C281D3A" w14:textId="77777777" w:rsidTr="0028704F">
        <w:trPr>
          <w:jc w:val="center"/>
        </w:trPr>
        <w:tc>
          <w:tcPr>
            <w:tcW w:w="2251" w:type="dxa"/>
            <w:tcBorders>
              <w:top w:val="single" w:sz="4" w:space="0" w:color="auto"/>
              <w:left w:val="single" w:sz="4" w:space="0" w:color="auto"/>
              <w:bottom w:val="single" w:sz="4" w:space="0" w:color="auto"/>
              <w:right w:val="single" w:sz="4" w:space="0" w:color="auto"/>
            </w:tcBorders>
            <w:hideMark/>
          </w:tcPr>
          <w:p w14:paraId="1A0B9EAF" w14:textId="77777777" w:rsidR="0028704F" w:rsidRDefault="0028704F" w:rsidP="0028704F">
            <w:pPr>
              <w:pStyle w:val="TAC"/>
              <w:rPr>
                <w:sz w:val="16"/>
                <w:szCs w:val="16"/>
                <w:lang w:eastAsia="en-GB"/>
              </w:rPr>
            </w:pPr>
            <w:r>
              <w:rPr>
                <w:sz w:val="16"/>
                <w:szCs w:val="16"/>
                <w:lang w:eastAsia="en-GB"/>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4AD36DCD" w14:textId="77777777" w:rsidR="0028704F" w:rsidRDefault="0028704F" w:rsidP="0028704F">
            <w:pPr>
              <w:pStyle w:val="TAC"/>
              <w:rPr>
                <w:sz w:val="16"/>
                <w:szCs w:val="16"/>
                <w:lang w:eastAsia="en-GB"/>
              </w:rPr>
            </w:pPr>
            <w:r>
              <w:rPr>
                <w:sz w:val="16"/>
                <w:szCs w:val="16"/>
                <w:lang w:eastAsia="zh-CN"/>
              </w:rPr>
              <w:t xml:space="preserve">25 </w:t>
            </w:r>
          </w:p>
        </w:tc>
      </w:tr>
    </w:tbl>
    <w:p w14:paraId="19F6060D" w14:textId="77777777" w:rsidR="0028704F" w:rsidRDefault="0028704F" w:rsidP="0028704F">
      <w:pPr>
        <w:spacing w:after="0"/>
        <w:rPr>
          <w:sz w:val="16"/>
          <w:szCs w:val="16"/>
          <w:lang w:val="en-GB"/>
        </w:rPr>
      </w:pPr>
    </w:p>
    <w:p w14:paraId="367F2D3C" w14:textId="6B71A7EA" w:rsidR="00DA7D9A" w:rsidRDefault="00D5263A" w:rsidP="00D5263A">
      <w:r>
        <w:t>In Rel-16 FR2 enhancements</w:t>
      </w:r>
      <w:r w:rsidR="00DD3894">
        <w:t xml:space="preserve"> WI</w:t>
      </w:r>
      <w:r>
        <w:t xml:space="preserve">, several of the capability </w:t>
      </w:r>
      <w:r w:rsidR="009F0CE1">
        <w:t xml:space="preserve">definitions </w:t>
      </w:r>
      <w:r>
        <w:t xml:space="preserve">and requirements are tied to the deployment scenarios. </w:t>
      </w:r>
      <w:r w:rsidR="00DD3894">
        <w:t>In</w:t>
      </w:r>
      <w:r w:rsidR="007018B1">
        <w:t xml:space="preserve"> the</w:t>
      </w:r>
      <w:r w:rsidR="00DD3894">
        <w:t xml:space="preserve"> previous section, we investigated</w:t>
      </w:r>
      <w:r>
        <w:t xml:space="preserve"> – </w:t>
      </w:r>
      <w:r w:rsidR="00DD3894">
        <w:t xml:space="preserve">under what conditions </w:t>
      </w:r>
      <w:r>
        <w:t xml:space="preserve">intra-band non-contiguous CA requirements </w:t>
      </w:r>
      <w:r w:rsidR="0024196E">
        <w:t>can be considered for</w:t>
      </w:r>
      <w:r>
        <w:t xml:space="preserve"> CBM band pair in inter-band DL CA</w:t>
      </w:r>
      <w:r w:rsidR="00DD3894">
        <w:t xml:space="preserve"> – this is one such requirement where the due to co-location and capabilities the RF and BM procedure are very similar to intra-band CA and CBM.</w:t>
      </w:r>
      <w:r w:rsidR="0028704F">
        <w:t xml:space="preserve"> For a particular CA band pair, if the co-location and common beam management can be clearly established, then could the </w:t>
      </w:r>
      <w:r w:rsidR="0024196E">
        <w:t>MRTD 8us can be reconsidered and lowered</w:t>
      </w:r>
      <w:r w:rsidR="00771FF3">
        <w:t>?</w:t>
      </w:r>
    </w:p>
    <w:p w14:paraId="3D3CD658" w14:textId="70A038DB" w:rsidR="0024196E" w:rsidRPr="00594465" w:rsidRDefault="0024196E" w:rsidP="00894CE4">
      <w:pPr>
        <w:rPr>
          <w:b/>
          <w:lang w:eastAsia="ja-JP"/>
        </w:rPr>
      </w:pPr>
      <w:r w:rsidRPr="00594465">
        <w:rPr>
          <w:b/>
          <w:lang w:eastAsia="ja-JP"/>
        </w:rPr>
        <w:t>Observation</w:t>
      </w:r>
      <w:r w:rsidR="00594465" w:rsidRPr="00594465">
        <w:rPr>
          <w:b/>
          <w:lang w:eastAsia="ja-JP"/>
        </w:rPr>
        <w:t xml:space="preserve"> 5</w:t>
      </w:r>
      <w:r w:rsidR="00F17E6C" w:rsidRPr="00594465">
        <w:rPr>
          <w:b/>
          <w:lang w:eastAsia="ja-JP"/>
        </w:rPr>
        <w:t xml:space="preserve">: </w:t>
      </w:r>
      <w:r w:rsidR="00D37E3E" w:rsidRPr="00594465">
        <w:rPr>
          <w:b/>
          <w:lang w:eastAsia="ja-JP"/>
        </w:rPr>
        <w:t>If</w:t>
      </w:r>
      <w:r w:rsidR="007018B1" w:rsidRPr="00594465">
        <w:rPr>
          <w:b/>
          <w:lang w:eastAsia="ja-JP"/>
        </w:rPr>
        <w:t xml:space="preserve"> the CBM</w:t>
      </w:r>
      <w:r w:rsidR="00D37E3E" w:rsidRPr="00594465">
        <w:rPr>
          <w:b/>
          <w:lang w:eastAsia="ja-JP"/>
        </w:rPr>
        <w:t xml:space="preserve"> capability</w:t>
      </w:r>
      <w:r w:rsidR="007018B1" w:rsidRPr="00594465">
        <w:rPr>
          <w:b/>
          <w:lang w:eastAsia="ja-JP"/>
        </w:rPr>
        <w:t xml:space="preserve"> and</w:t>
      </w:r>
      <w:r w:rsidR="00D37E3E" w:rsidRPr="00594465">
        <w:rPr>
          <w:b/>
          <w:lang w:eastAsia="ja-JP"/>
        </w:rPr>
        <w:t xml:space="preserve"> explicit</w:t>
      </w:r>
      <w:r w:rsidR="007018B1" w:rsidRPr="00594465">
        <w:rPr>
          <w:b/>
          <w:lang w:eastAsia="ja-JP"/>
        </w:rPr>
        <w:t xml:space="preserve"> co-located </w:t>
      </w:r>
      <w:r w:rsidR="00D37E3E" w:rsidRPr="00594465">
        <w:rPr>
          <w:b/>
          <w:lang w:eastAsia="ja-JP"/>
        </w:rPr>
        <w:t xml:space="preserve">deployment </w:t>
      </w:r>
      <w:r w:rsidR="007018B1" w:rsidRPr="00594465">
        <w:rPr>
          <w:b/>
          <w:lang w:eastAsia="ja-JP"/>
        </w:rPr>
        <w:t>conditions are established</w:t>
      </w:r>
      <w:r w:rsidR="00D37E3E" w:rsidRPr="00594465">
        <w:rPr>
          <w:b/>
          <w:lang w:eastAsia="ja-JP"/>
        </w:rPr>
        <w:t xml:space="preserve">, it would allow inter-band FR2 CA MRTD </w:t>
      </w:r>
      <w:r w:rsidRPr="00594465">
        <w:rPr>
          <w:b/>
          <w:lang w:eastAsia="ja-JP"/>
        </w:rPr>
        <w:t>to be lower than 8us</w:t>
      </w:r>
      <w:r w:rsidR="00E77C4C">
        <w:rPr>
          <w:b/>
          <w:lang w:eastAsia="ja-JP"/>
        </w:rPr>
        <w:t xml:space="preserve">. </w:t>
      </w:r>
    </w:p>
    <w:p w14:paraId="0EBE807A" w14:textId="36EA2A3C" w:rsidR="00A160EB" w:rsidRPr="009609A7" w:rsidRDefault="0024196E" w:rsidP="00894CE4">
      <w:r>
        <w:rPr>
          <w:b/>
          <w:lang w:eastAsia="ja-JP"/>
        </w:rPr>
        <w:t>Proposal</w:t>
      </w:r>
      <w:r w:rsidR="00594465">
        <w:rPr>
          <w:b/>
          <w:lang w:eastAsia="ja-JP"/>
        </w:rPr>
        <w:t xml:space="preserve"> 4</w:t>
      </w:r>
      <w:r>
        <w:rPr>
          <w:b/>
          <w:lang w:eastAsia="ja-JP"/>
        </w:rPr>
        <w:t>: It is proposed to explicitly define co-located deployment information to allow parameters such as MRTD to set appropriate requirements.</w:t>
      </w:r>
    </w:p>
    <w:p w14:paraId="48CF3E64" w14:textId="77777777" w:rsidR="00F17E6C" w:rsidRPr="00F17E6C" w:rsidRDefault="00F17E6C" w:rsidP="00F17E6C"/>
    <w:p w14:paraId="4417EBE9" w14:textId="67D14B9F" w:rsidR="003430E4" w:rsidRDefault="003430E4" w:rsidP="003430E4">
      <w:pPr>
        <w:pStyle w:val="Heading1"/>
        <w:rPr>
          <w:lang w:eastAsia="zh-CN"/>
        </w:rPr>
      </w:pPr>
      <w:r>
        <w:rPr>
          <w:lang w:eastAsia="zh-CN"/>
        </w:rPr>
        <w:t>Conclusion</w:t>
      </w:r>
    </w:p>
    <w:p w14:paraId="68538455" w14:textId="551EC168" w:rsidR="003D268E" w:rsidRDefault="00DB71DC" w:rsidP="007D638C">
      <w:pPr>
        <w:rPr>
          <w:b/>
          <w:bCs/>
        </w:rPr>
      </w:pPr>
      <w:r w:rsidRPr="001A2417">
        <w:rPr>
          <w:lang w:eastAsia="zh-CN"/>
        </w:rPr>
        <w:t>This contribution</w:t>
      </w:r>
      <w:r w:rsidR="00281FD1">
        <w:rPr>
          <w:lang w:eastAsia="zh-CN"/>
        </w:rPr>
        <w:t>, we provided</w:t>
      </w:r>
      <w:r w:rsidRPr="001A2417">
        <w:rPr>
          <w:lang w:eastAsia="zh-CN"/>
        </w:rPr>
        <w:t xml:space="preserve"> </w:t>
      </w:r>
      <w:r>
        <w:rPr>
          <w:lang w:eastAsia="zh-CN"/>
        </w:rPr>
        <w:t xml:space="preserve">some analysis and considerations </w:t>
      </w:r>
      <w:r w:rsidR="003D268E">
        <w:rPr>
          <w:lang w:eastAsia="zh-CN"/>
        </w:rPr>
        <w:t xml:space="preserve">for </w:t>
      </w:r>
      <w:bookmarkStart w:id="3" w:name="_Ref124589665"/>
      <w:bookmarkStart w:id="4" w:name="_Ref71620620"/>
      <w:bookmarkStart w:id="5" w:name="_Ref124671424"/>
      <w:r w:rsidR="00186F2B">
        <w:rPr>
          <w:lang w:eastAsia="zh-CN"/>
        </w:rPr>
        <w:t>the remaining open issues in inter-band DL CA.</w:t>
      </w:r>
    </w:p>
    <w:p w14:paraId="736061A7" w14:textId="7112ACF0" w:rsidR="00F51298" w:rsidRDefault="00F51298" w:rsidP="00F51298">
      <w:pPr>
        <w:rPr>
          <w:b/>
          <w:bCs/>
          <w:lang w:val="en-GB"/>
        </w:rPr>
      </w:pPr>
      <w:r w:rsidRPr="00F51298">
        <w:rPr>
          <w:b/>
          <w:bCs/>
        </w:rPr>
        <w:t xml:space="preserve">Proposal 1: </w:t>
      </w:r>
      <w:r w:rsidRPr="00F51298">
        <w:rPr>
          <w:b/>
          <w:bCs/>
          <w:lang w:val="en-GB"/>
        </w:rPr>
        <w:t>Introduce IBM and CBM capability per band pair</w:t>
      </w:r>
    </w:p>
    <w:p w14:paraId="52B71024" w14:textId="77777777" w:rsidR="007A0CBB" w:rsidRPr="00F51298" w:rsidRDefault="007A0CBB" w:rsidP="007A0CBB">
      <w:pPr>
        <w:rPr>
          <w:b/>
          <w:bCs/>
        </w:rPr>
      </w:pPr>
      <w:r w:rsidRPr="00F51298">
        <w:rPr>
          <w:b/>
          <w:bCs/>
        </w:rPr>
        <w:t xml:space="preserve">Observation 1: With the implicit understanding that the CBM band pair shall support co-located deployments and meet corresponding requirements, IBM band-pair shall support both co-located and non-co-located deployments, the other attributes associated with CBM/IBM capabilities are also need to be  clarified and defined. </w:t>
      </w:r>
    </w:p>
    <w:p w14:paraId="43A3F8D5" w14:textId="77777777" w:rsidR="007A0CBB" w:rsidRPr="00F51298" w:rsidRDefault="007A0CBB" w:rsidP="007A0CBB">
      <w:pPr>
        <w:rPr>
          <w:b/>
          <w:bCs/>
        </w:rPr>
      </w:pPr>
      <w:r w:rsidRPr="00F51298">
        <w:rPr>
          <w:b/>
          <w:bCs/>
        </w:rPr>
        <w:t xml:space="preserve">Observation 2: The requirements for inter-band DL CA band pairs will be individually defined, so the requirements should be investigated case-by-case if any of the intra-band non-contiguous DL CA </w:t>
      </w:r>
      <w:r w:rsidRPr="00F51298">
        <w:rPr>
          <w:b/>
          <w:bCs/>
        </w:rPr>
        <w:lastRenderedPageBreak/>
        <w:t xml:space="preserve">requirements apply.  In most cases reuse of requirements is possible, but when there is a frequency-dependent RF degradation or different BM process it should be investigated case-by-case. </w:t>
      </w:r>
    </w:p>
    <w:p w14:paraId="41711581" w14:textId="77777777" w:rsidR="007A0CBB" w:rsidRPr="00F51298" w:rsidRDefault="007A0CBB" w:rsidP="007A0CBB">
      <w:pPr>
        <w:rPr>
          <w:b/>
          <w:bCs/>
          <w:iCs/>
          <w:lang w:eastAsia="zh-CN"/>
        </w:rPr>
      </w:pPr>
      <w:r w:rsidRPr="00F51298">
        <w:rPr>
          <w:b/>
          <w:bCs/>
          <w:iCs/>
          <w:lang w:eastAsia="zh-CN"/>
        </w:rPr>
        <w:t xml:space="preserve">Proposal 2: Adopt requirement on area of sphere (or equivalently, solid angle) where both bands meet their respective single CC EIS spherical coverage requirements. </w:t>
      </w:r>
    </w:p>
    <w:p w14:paraId="3E124415" w14:textId="77777777" w:rsidR="007A0CBB" w:rsidRPr="00F51298" w:rsidRDefault="007A0CBB" w:rsidP="007A0CBB">
      <w:pPr>
        <w:rPr>
          <w:b/>
          <w:bCs/>
        </w:rPr>
      </w:pPr>
      <w:r w:rsidRPr="00F51298">
        <w:rPr>
          <w:b/>
          <w:bCs/>
        </w:rPr>
        <w:t xml:space="preserve">Observation 3: For co-located scenarios, both CBM and IBM could define common coverage </w:t>
      </w:r>
    </w:p>
    <w:p w14:paraId="2DD64C31" w14:textId="462AFE8D" w:rsidR="007A0CBB" w:rsidRPr="00F51298" w:rsidRDefault="007A0CBB" w:rsidP="007A0CBB">
      <w:pPr>
        <w:rPr>
          <w:b/>
          <w:bCs/>
        </w:rPr>
      </w:pPr>
      <w:r w:rsidRPr="00F51298">
        <w:rPr>
          <w:b/>
          <w:bCs/>
        </w:rPr>
        <w:t xml:space="preserve">Observation 4: For non-co-located </w:t>
      </w:r>
      <w:r w:rsidRPr="00F51298">
        <w:rPr>
          <w:b/>
          <w:bCs/>
        </w:rPr>
        <w:t>scenario</w:t>
      </w:r>
      <w:r>
        <w:rPr>
          <w:b/>
          <w:bCs/>
        </w:rPr>
        <w:t>s,</w:t>
      </w:r>
      <w:r w:rsidRPr="00F51298">
        <w:rPr>
          <w:b/>
          <w:bCs/>
        </w:rPr>
        <w:t xml:space="preserve"> the “common spherical coverage” requirement is not applicable. </w:t>
      </w:r>
    </w:p>
    <w:p w14:paraId="3EEC2021" w14:textId="77777777" w:rsidR="007A0CBB" w:rsidRPr="00594465" w:rsidRDefault="007A0CBB" w:rsidP="007A0CBB">
      <w:pPr>
        <w:rPr>
          <w:b/>
          <w:bCs/>
        </w:rPr>
      </w:pPr>
      <w:r w:rsidRPr="00594465">
        <w:rPr>
          <w:b/>
          <w:bCs/>
        </w:rPr>
        <w:t>Proposal 3: For CBM L+L and H+H PSD difference could be small but this non-zero value should be captured. For L+H and IBM the PSD difference could be large bur for testability point of view 6.5dB can be agreed.</w:t>
      </w:r>
    </w:p>
    <w:p w14:paraId="31CF812D" w14:textId="77777777" w:rsidR="007A0CBB" w:rsidRPr="00594465" w:rsidRDefault="007A0CBB" w:rsidP="007A0CBB">
      <w:pPr>
        <w:rPr>
          <w:b/>
          <w:lang w:eastAsia="ja-JP"/>
        </w:rPr>
      </w:pPr>
      <w:r w:rsidRPr="00594465">
        <w:rPr>
          <w:b/>
          <w:lang w:eastAsia="ja-JP"/>
        </w:rPr>
        <w:t>Observation 5: If the CBM capability and explicit co-located deployment conditions are established, it would allow inter-band FR2 CA MRTD to be lower than 8us</w:t>
      </w:r>
      <w:r>
        <w:rPr>
          <w:b/>
          <w:lang w:eastAsia="ja-JP"/>
        </w:rPr>
        <w:t xml:space="preserve">. </w:t>
      </w:r>
    </w:p>
    <w:p w14:paraId="009B7A49" w14:textId="77777777" w:rsidR="007A0CBB" w:rsidRPr="009609A7" w:rsidRDefault="007A0CBB" w:rsidP="007A0CBB">
      <w:r>
        <w:rPr>
          <w:b/>
          <w:lang w:eastAsia="ja-JP"/>
        </w:rPr>
        <w:t>Proposal 4: It is proposed to explicitly define co-located deployment information to allow parameters such as MRTD to set appropriate requirements.</w:t>
      </w:r>
    </w:p>
    <w:p w14:paraId="23E2EFF8" w14:textId="77777777" w:rsidR="00715D69" w:rsidRDefault="00715D69" w:rsidP="00715D69">
      <w:pPr>
        <w:rPr>
          <w:b/>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4255E511" w14:textId="2E6564D9" w:rsidR="00540F9C" w:rsidRPr="00A672A4" w:rsidRDefault="00DB71DC" w:rsidP="00D2497E">
      <w:pPr>
        <w:pStyle w:val="References"/>
        <w:numPr>
          <w:ilvl w:val="0"/>
          <w:numId w:val="0"/>
        </w:numPr>
        <w:rPr>
          <w:sz w:val="22"/>
          <w:szCs w:val="22"/>
          <w:lang w:eastAsia="zh-CN"/>
        </w:rPr>
      </w:pPr>
      <w:r w:rsidRPr="00A672A4">
        <w:rPr>
          <w:sz w:val="22"/>
          <w:szCs w:val="22"/>
          <w:lang w:eastAsia="zh-CN"/>
        </w:rPr>
        <w:t xml:space="preserve">[1] </w:t>
      </w:r>
      <w:r w:rsidR="00DE113E" w:rsidRPr="00A672A4">
        <w:rPr>
          <w:sz w:val="22"/>
          <w:szCs w:val="22"/>
          <w:lang w:eastAsia="zh-CN"/>
        </w:rPr>
        <w:t>R4-</w:t>
      </w:r>
      <w:r w:rsidR="00D2497E" w:rsidRPr="00A672A4">
        <w:rPr>
          <w:sz w:val="22"/>
          <w:szCs w:val="22"/>
          <w:lang w:eastAsia="zh-CN"/>
        </w:rPr>
        <w:t>2008487</w:t>
      </w:r>
      <w:r w:rsidR="009E2F24" w:rsidRPr="00A672A4">
        <w:rPr>
          <w:sz w:val="22"/>
          <w:szCs w:val="22"/>
          <w:lang w:eastAsia="zh-CN"/>
        </w:rPr>
        <w:t xml:space="preserve"> </w:t>
      </w:r>
      <w:r w:rsidR="00D2497E" w:rsidRPr="00A672A4">
        <w:rPr>
          <w:sz w:val="22"/>
          <w:szCs w:val="22"/>
          <w:lang w:eastAsia="zh-CN"/>
        </w:rPr>
        <w:t xml:space="preserve">WF on FR2 inter-band DL CA, </w:t>
      </w:r>
      <w:proofErr w:type="spellStart"/>
      <w:r w:rsidR="00D2497E" w:rsidRPr="00A672A4">
        <w:rPr>
          <w:sz w:val="22"/>
          <w:szCs w:val="22"/>
          <w:lang w:eastAsia="zh-CN"/>
        </w:rPr>
        <w:t>Mediatek</w:t>
      </w:r>
      <w:proofErr w:type="spellEnd"/>
      <w:r w:rsidR="00D2497E" w:rsidRPr="00A672A4">
        <w:rPr>
          <w:sz w:val="22"/>
          <w:szCs w:val="22"/>
          <w:lang w:eastAsia="zh-CN"/>
        </w:rPr>
        <w:t>, RAN4#95e, May 2020</w:t>
      </w:r>
    </w:p>
    <w:p w14:paraId="4600CCE8" w14:textId="30607DE5" w:rsidR="009E2F24" w:rsidRPr="00A672A4" w:rsidRDefault="009E2F24" w:rsidP="00D2497E">
      <w:pPr>
        <w:pStyle w:val="References"/>
        <w:numPr>
          <w:ilvl w:val="0"/>
          <w:numId w:val="0"/>
        </w:numPr>
        <w:rPr>
          <w:sz w:val="22"/>
          <w:szCs w:val="22"/>
          <w:lang w:eastAsia="zh-CN"/>
        </w:rPr>
      </w:pPr>
      <w:r w:rsidRPr="00A672A4">
        <w:rPr>
          <w:sz w:val="22"/>
          <w:szCs w:val="22"/>
        </w:rPr>
        <w:t xml:space="preserve">[2] </w:t>
      </w:r>
      <w:r w:rsidRPr="00A672A4">
        <w:rPr>
          <w:sz w:val="22"/>
          <w:szCs w:val="22"/>
        </w:rPr>
        <w:t>R4-2005736</w:t>
      </w:r>
      <w:r w:rsidRPr="00A672A4">
        <w:rPr>
          <w:sz w:val="22"/>
          <w:szCs w:val="22"/>
        </w:rPr>
        <w:t xml:space="preserve"> </w:t>
      </w:r>
      <w:r w:rsidRPr="00A672A4">
        <w:rPr>
          <w:sz w:val="22"/>
          <w:szCs w:val="22"/>
        </w:rPr>
        <w:t>WF on inter-band DL CA</w:t>
      </w:r>
      <w:r w:rsidRPr="00A672A4">
        <w:rPr>
          <w:sz w:val="22"/>
          <w:szCs w:val="22"/>
        </w:rPr>
        <w:t>, Qualcomm, RAN4#94e-Bis, April 2020</w:t>
      </w:r>
    </w:p>
    <w:p w14:paraId="5E948624" w14:textId="0726610E" w:rsidR="005C0BEF" w:rsidRPr="00A672A4" w:rsidRDefault="005C0BEF" w:rsidP="00D2497E">
      <w:pPr>
        <w:pStyle w:val="References"/>
        <w:numPr>
          <w:ilvl w:val="0"/>
          <w:numId w:val="0"/>
        </w:numPr>
        <w:rPr>
          <w:sz w:val="22"/>
          <w:szCs w:val="22"/>
        </w:rPr>
      </w:pPr>
      <w:r w:rsidRPr="00A672A4">
        <w:rPr>
          <w:sz w:val="22"/>
          <w:szCs w:val="22"/>
          <w:lang w:eastAsia="zh-CN"/>
        </w:rPr>
        <w:t>[</w:t>
      </w:r>
      <w:r w:rsidR="00A672A4" w:rsidRPr="00A672A4">
        <w:rPr>
          <w:sz w:val="22"/>
          <w:szCs w:val="22"/>
          <w:lang w:eastAsia="zh-CN"/>
        </w:rPr>
        <w:t>3</w:t>
      </w:r>
      <w:r w:rsidRPr="00A672A4">
        <w:rPr>
          <w:sz w:val="22"/>
          <w:szCs w:val="22"/>
          <w:lang w:eastAsia="zh-CN"/>
        </w:rPr>
        <w:t>]</w:t>
      </w:r>
      <w:r w:rsidRPr="00A672A4">
        <w:rPr>
          <w:sz w:val="22"/>
          <w:szCs w:val="22"/>
        </w:rPr>
        <w:t xml:space="preserve"> R4-1916024, WF on FR2 inter-band downlink CA, Nokia, RAN4 #93, Nov 2019</w:t>
      </w:r>
    </w:p>
    <w:p w14:paraId="2327860B" w14:textId="73251B02" w:rsidR="00E83E66" w:rsidRPr="00A672A4" w:rsidRDefault="00E83E66" w:rsidP="00D2497E">
      <w:pPr>
        <w:pStyle w:val="References"/>
        <w:numPr>
          <w:ilvl w:val="0"/>
          <w:numId w:val="0"/>
        </w:numPr>
        <w:rPr>
          <w:sz w:val="22"/>
          <w:szCs w:val="22"/>
          <w:lang w:eastAsia="zh-CN"/>
        </w:rPr>
      </w:pPr>
      <w:r w:rsidRPr="00A672A4">
        <w:rPr>
          <w:sz w:val="22"/>
          <w:szCs w:val="22"/>
        </w:rPr>
        <w:t>[</w:t>
      </w:r>
      <w:r w:rsidR="00A672A4" w:rsidRPr="00A672A4">
        <w:rPr>
          <w:sz w:val="22"/>
          <w:szCs w:val="22"/>
        </w:rPr>
        <w:t>4</w:t>
      </w:r>
      <w:r w:rsidRPr="00A672A4">
        <w:rPr>
          <w:sz w:val="22"/>
          <w:szCs w:val="22"/>
        </w:rPr>
        <w:t>] R4-2006633</w:t>
      </w:r>
      <w:r w:rsidR="001A67D0" w:rsidRPr="00A672A4">
        <w:rPr>
          <w:sz w:val="22"/>
          <w:szCs w:val="22"/>
        </w:rPr>
        <w:t>,</w:t>
      </w:r>
      <w:r w:rsidRPr="00A672A4">
        <w:rPr>
          <w:sz w:val="22"/>
          <w:szCs w:val="22"/>
        </w:rPr>
        <w:t xml:space="preserve"> On common beam management assumptions and PSD difference in FR2 CA, Apple, May 2020</w:t>
      </w:r>
    </w:p>
    <w:p w14:paraId="3A41B4B7" w14:textId="5B1EE29E" w:rsidR="00D22504" w:rsidRPr="00A672A4" w:rsidRDefault="00D22504" w:rsidP="00D2497E">
      <w:pPr>
        <w:pStyle w:val="References"/>
        <w:numPr>
          <w:ilvl w:val="0"/>
          <w:numId w:val="0"/>
        </w:numPr>
        <w:rPr>
          <w:sz w:val="22"/>
          <w:szCs w:val="22"/>
        </w:rPr>
      </w:pPr>
      <w:r w:rsidRPr="00A672A4">
        <w:rPr>
          <w:sz w:val="22"/>
          <w:szCs w:val="22"/>
          <w:lang w:eastAsia="zh-CN"/>
        </w:rPr>
        <w:t>[</w:t>
      </w:r>
      <w:r w:rsidR="00A672A4" w:rsidRPr="00A672A4">
        <w:rPr>
          <w:sz w:val="22"/>
          <w:szCs w:val="22"/>
          <w:lang w:eastAsia="zh-CN"/>
        </w:rPr>
        <w:t>5</w:t>
      </w:r>
      <w:r w:rsidRPr="00A672A4">
        <w:rPr>
          <w:sz w:val="22"/>
          <w:szCs w:val="22"/>
          <w:lang w:eastAsia="zh-CN"/>
        </w:rPr>
        <w:t>] R4-2005736</w:t>
      </w:r>
      <w:r w:rsidR="001A67D0" w:rsidRPr="00A672A4">
        <w:rPr>
          <w:sz w:val="22"/>
          <w:szCs w:val="22"/>
          <w:lang w:eastAsia="zh-CN"/>
        </w:rPr>
        <w:t>,</w:t>
      </w:r>
      <w:r w:rsidRPr="00A672A4">
        <w:rPr>
          <w:sz w:val="22"/>
          <w:szCs w:val="22"/>
          <w:lang w:eastAsia="zh-CN"/>
        </w:rPr>
        <w:t xml:space="preserve"> WF on inter-band DL CA, Qualcomm, RAN4#94e-bis, April 2020</w:t>
      </w:r>
    </w:p>
    <w:sectPr w:rsidR="00D22504" w:rsidRPr="00A672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57939" w14:textId="77777777" w:rsidR="00D54CE1" w:rsidRDefault="00D54CE1">
      <w:r>
        <w:separator/>
      </w:r>
    </w:p>
  </w:endnote>
  <w:endnote w:type="continuationSeparator" w:id="0">
    <w:p w14:paraId="5C199AB1" w14:textId="77777777" w:rsidR="00D54CE1" w:rsidRDefault="00D5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D5F65" w14:textId="77777777" w:rsidR="00D54CE1" w:rsidRDefault="00D54CE1">
      <w:r>
        <w:separator/>
      </w:r>
    </w:p>
  </w:footnote>
  <w:footnote w:type="continuationSeparator" w:id="0">
    <w:p w14:paraId="61202A83" w14:textId="77777777" w:rsidR="00D54CE1" w:rsidRDefault="00D54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7631"/>
    <w:multiLevelType w:val="hybridMultilevel"/>
    <w:tmpl w:val="FB2A4168"/>
    <w:lvl w:ilvl="0" w:tplc="97262248">
      <w:start w:val="1"/>
      <w:numFmt w:val="bullet"/>
      <w:lvlText w:val="•"/>
      <w:lvlJc w:val="left"/>
      <w:pPr>
        <w:tabs>
          <w:tab w:val="num" w:pos="720"/>
        </w:tabs>
        <w:ind w:left="720" w:hanging="360"/>
      </w:pPr>
      <w:rPr>
        <w:rFonts w:ascii="Arial" w:hAnsi="Arial" w:hint="default"/>
      </w:rPr>
    </w:lvl>
    <w:lvl w:ilvl="1" w:tplc="B0682360" w:tentative="1">
      <w:start w:val="1"/>
      <w:numFmt w:val="bullet"/>
      <w:lvlText w:val="•"/>
      <w:lvlJc w:val="left"/>
      <w:pPr>
        <w:tabs>
          <w:tab w:val="num" w:pos="1440"/>
        </w:tabs>
        <w:ind w:left="1440" w:hanging="360"/>
      </w:pPr>
      <w:rPr>
        <w:rFonts w:ascii="Arial" w:hAnsi="Arial" w:hint="default"/>
      </w:rPr>
    </w:lvl>
    <w:lvl w:ilvl="2" w:tplc="752213E2" w:tentative="1">
      <w:start w:val="1"/>
      <w:numFmt w:val="bullet"/>
      <w:lvlText w:val="•"/>
      <w:lvlJc w:val="left"/>
      <w:pPr>
        <w:tabs>
          <w:tab w:val="num" w:pos="2160"/>
        </w:tabs>
        <w:ind w:left="2160" w:hanging="360"/>
      </w:pPr>
      <w:rPr>
        <w:rFonts w:ascii="Arial" w:hAnsi="Arial" w:hint="default"/>
      </w:rPr>
    </w:lvl>
    <w:lvl w:ilvl="3" w:tplc="33F471A8" w:tentative="1">
      <w:start w:val="1"/>
      <w:numFmt w:val="bullet"/>
      <w:lvlText w:val="•"/>
      <w:lvlJc w:val="left"/>
      <w:pPr>
        <w:tabs>
          <w:tab w:val="num" w:pos="2880"/>
        </w:tabs>
        <w:ind w:left="2880" w:hanging="360"/>
      </w:pPr>
      <w:rPr>
        <w:rFonts w:ascii="Arial" w:hAnsi="Arial" w:hint="default"/>
      </w:rPr>
    </w:lvl>
    <w:lvl w:ilvl="4" w:tplc="DD70C4B6" w:tentative="1">
      <w:start w:val="1"/>
      <w:numFmt w:val="bullet"/>
      <w:lvlText w:val="•"/>
      <w:lvlJc w:val="left"/>
      <w:pPr>
        <w:tabs>
          <w:tab w:val="num" w:pos="3600"/>
        </w:tabs>
        <w:ind w:left="3600" w:hanging="360"/>
      </w:pPr>
      <w:rPr>
        <w:rFonts w:ascii="Arial" w:hAnsi="Arial" w:hint="default"/>
      </w:rPr>
    </w:lvl>
    <w:lvl w:ilvl="5" w:tplc="1BCA5642" w:tentative="1">
      <w:start w:val="1"/>
      <w:numFmt w:val="bullet"/>
      <w:lvlText w:val="•"/>
      <w:lvlJc w:val="left"/>
      <w:pPr>
        <w:tabs>
          <w:tab w:val="num" w:pos="4320"/>
        </w:tabs>
        <w:ind w:left="4320" w:hanging="360"/>
      </w:pPr>
      <w:rPr>
        <w:rFonts w:ascii="Arial" w:hAnsi="Arial" w:hint="default"/>
      </w:rPr>
    </w:lvl>
    <w:lvl w:ilvl="6" w:tplc="87868378" w:tentative="1">
      <w:start w:val="1"/>
      <w:numFmt w:val="bullet"/>
      <w:lvlText w:val="•"/>
      <w:lvlJc w:val="left"/>
      <w:pPr>
        <w:tabs>
          <w:tab w:val="num" w:pos="5040"/>
        </w:tabs>
        <w:ind w:left="5040" w:hanging="360"/>
      </w:pPr>
      <w:rPr>
        <w:rFonts w:ascii="Arial" w:hAnsi="Arial" w:hint="default"/>
      </w:rPr>
    </w:lvl>
    <w:lvl w:ilvl="7" w:tplc="0B18EA78" w:tentative="1">
      <w:start w:val="1"/>
      <w:numFmt w:val="bullet"/>
      <w:lvlText w:val="•"/>
      <w:lvlJc w:val="left"/>
      <w:pPr>
        <w:tabs>
          <w:tab w:val="num" w:pos="5760"/>
        </w:tabs>
        <w:ind w:left="5760" w:hanging="360"/>
      </w:pPr>
      <w:rPr>
        <w:rFonts w:ascii="Arial" w:hAnsi="Arial" w:hint="default"/>
      </w:rPr>
    </w:lvl>
    <w:lvl w:ilvl="8" w:tplc="B8BA3B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63F7C"/>
    <w:multiLevelType w:val="hybridMultilevel"/>
    <w:tmpl w:val="7AA218CA"/>
    <w:lvl w:ilvl="0" w:tplc="64EC3416">
      <w:start w:val="1"/>
      <w:numFmt w:val="bullet"/>
      <w:lvlText w:val="•"/>
      <w:lvlJc w:val="left"/>
      <w:pPr>
        <w:tabs>
          <w:tab w:val="num" w:pos="360"/>
        </w:tabs>
        <w:ind w:left="360" w:hanging="360"/>
      </w:pPr>
      <w:rPr>
        <w:rFonts w:ascii="Arial" w:hAnsi="Arial" w:hint="default"/>
      </w:rPr>
    </w:lvl>
    <w:lvl w:ilvl="1" w:tplc="A3660DF4">
      <w:start w:val="1"/>
      <w:numFmt w:val="bullet"/>
      <w:lvlText w:val="•"/>
      <w:lvlJc w:val="left"/>
      <w:pPr>
        <w:tabs>
          <w:tab w:val="num" w:pos="1080"/>
        </w:tabs>
        <w:ind w:left="1080" w:hanging="360"/>
      </w:pPr>
      <w:rPr>
        <w:rFonts w:ascii="Arial" w:hAnsi="Arial" w:hint="default"/>
      </w:rPr>
    </w:lvl>
    <w:lvl w:ilvl="2" w:tplc="A64A0542" w:tentative="1">
      <w:start w:val="1"/>
      <w:numFmt w:val="bullet"/>
      <w:lvlText w:val="•"/>
      <w:lvlJc w:val="left"/>
      <w:pPr>
        <w:tabs>
          <w:tab w:val="num" w:pos="1800"/>
        </w:tabs>
        <w:ind w:left="1800" w:hanging="360"/>
      </w:pPr>
      <w:rPr>
        <w:rFonts w:ascii="Arial" w:hAnsi="Arial" w:hint="default"/>
      </w:rPr>
    </w:lvl>
    <w:lvl w:ilvl="3" w:tplc="1DCEE1A0" w:tentative="1">
      <w:start w:val="1"/>
      <w:numFmt w:val="bullet"/>
      <w:lvlText w:val="•"/>
      <w:lvlJc w:val="left"/>
      <w:pPr>
        <w:tabs>
          <w:tab w:val="num" w:pos="2520"/>
        </w:tabs>
        <w:ind w:left="2520" w:hanging="360"/>
      </w:pPr>
      <w:rPr>
        <w:rFonts w:ascii="Arial" w:hAnsi="Arial" w:hint="default"/>
      </w:rPr>
    </w:lvl>
    <w:lvl w:ilvl="4" w:tplc="5CA81F80" w:tentative="1">
      <w:start w:val="1"/>
      <w:numFmt w:val="bullet"/>
      <w:lvlText w:val="•"/>
      <w:lvlJc w:val="left"/>
      <w:pPr>
        <w:tabs>
          <w:tab w:val="num" w:pos="3240"/>
        </w:tabs>
        <w:ind w:left="3240" w:hanging="360"/>
      </w:pPr>
      <w:rPr>
        <w:rFonts w:ascii="Arial" w:hAnsi="Arial" w:hint="default"/>
      </w:rPr>
    </w:lvl>
    <w:lvl w:ilvl="5" w:tplc="D2823B4A" w:tentative="1">
      <w:start w:val="1"/>
      <w:numFmt w:val="bullet"/>
      <w:lvlText w:val="•"/>
      <w:lvlJc w:val="left"/>
      <w:pPr>
        <w:tabs>
          <w:tab w:val="num" w:pos="3960"/>
        </w:tabs>
        <w:ind w:left="3960" w:hanging="360"/>
      </w:pPr>
      <w:rPr>
        <w:rFonts w:ascii="Arial" w:hAnsi="Arial" w:hint="default"/>
      </w:rPr>
    </w:lvl>
    <w:lvl w:ilvl="6" w:tplc="12E2AC58" w:tentative="1">
      <w:start w:val="1"/>
      <w:numFmt w:val="bullet"/>
      <w:lvlText w:val="•"/>
      <w:lvlJc w:val="left"/>
      <w:pPr>
        <w:tabs>
          <w:tab w:val="num" w:pos="4680"/>
        </w:tabs>
        <w:ind w:left="4680" w:hanging="360"/>
      </w:pPr>
      <w:rPr>
        <w:rFonts w:ascii="Arial" w:hAnsi="Arial" w:hint="default"/>
      </w:rPr>
    </w:lvl>
    <w:lvl w:ilvl="7" w:tplc="28F0FF7A" w:tentative="1">
      <w:start w:val="1"/>
      <w:numFmt w:val="bullet"/>
      <w:lvlText w:val="•"/>
      <w:lvlJc w:val="left"/>
      <w:pPr>
        <w:tabs>
          <w:tab w:val="num" w:pos="5400"/>
        </w:tabs>
        <w:ind w:left="5400" w:hanging="360"/>
      </w:pPr>
      <w:rPr>
        <w:rFonts w:ascii="Arial" w:hAnsi="Arial" w:hint="default"/>
      </w:rPr>
    </w:lvl>
    <w:lvl w:ilvl="8" w:tplc="73281FE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8993248"/>
    <w:multiLevelType w:val="hybridMultilevel"/>
    <w:tmpl w:val="F3E2E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6A4F9F"/>
    <w:multiLevelType w:val="hybridMultilevel"/>
    <w:tmpl w:val="8C54EFBA"/>
    <w:lvl w:ilvl="0" w:tplc="375C4DA2">
      <w:start w:val="1"/>
      <w:numFmt w:val="bullet"/>
      <w:lvlText w:val=""/>
      <w:lvlJc w:val="left"/>
      <w:pPr>
        <w:tabs>
          <w:tab w:val="num" w:pos="720"/>
        </w:tabs>
        <w:ind w:left="720" w:hanging="360"/>
      </w:pPr>
      <w:rPr>
        <w:rFonts w:ascii="Wingdings" w:hAnsi="Wingdings" w:hint="default"/>
      </w:rPr>
    </w:lvl>
    <w:lvl w:ilvl="1" w:tplc="94224F80">
      <w:numFmt w:val="bullet"/>
      <w:lvlText w:val="•"/>
      <w:lvlJc w:val="left"/>
      <w:pPr>
        <w:tabs>
          <w:tab w:val="num" w:pos="1440"/>
        </w:tabs>
        <w:ind w:left="1440" w:hanging="360"/>
      </w:pPr>
      <w:rPr>
        <w:rFonts w:ascii="Arial" w:hAnsi="Arial" w:hint="default"/>
      </w:rPr>
    </w:lvl>
    <w:lvl w:ilvl="2" w:tplc="320A203A">
      <w:numFmt w:val="bullet"/>
      <w:lvlText w:val="•"/>
      <w:lvlJc w:val="left"/>
      <w:pPr>
        <w:tabs>
          <w:tab w:val="num" w:pos="2160"/>
        </w:tabs>
        <w:ind w:left="2160" w:hanging="360"/>
      </w:pPr>
      <w:rPr>
        <w:rFonts w:ascii="Arial" w:hAnsi="Arial" w:hint="default"/>
      </w:rPr>
    </w:lvl>
    <w:lvl w:ilvl="3" w:tplc="C226E3EA" w:tentative="1">
      <w:start w:val="1"/>
      <w:numFmt w:val="bullet"/>
      <w:lvlText w:val=""/>
      <w:lvlJc w:val="left"/>
      <w:pPr>
        <w:tabs>
          <w:tab w:val="num" w:pos="2880"/>
        </w:tabs>
        <w:ind w:left="2880" w:hanging="360"/>
      </w:pPr>
      <w:rPr>
        <w:rFonts w:ascii="Wingdings" w:hAnsi="Wingdings" w:hint="default"/>
      </w:rPr>
    </w:lvl>
    <w:lvl w:ilvl="4" w:tplc="1FE4C0B4" w:tentative="1">
      <w:start w:val="1"/>
      <w:numFmt w:val="bullet"/>
      <w:lvlText w:val=""/>
      <w:lvlJc w:val="left"/>
      <w:pPr>
        <w:tabs>
          <w:tab w:val="num" w:pos="3600"/>
        </w:tabs>
        <w:ind w:left="3600" w:hanging="360"/>
      </w:pPr>
      <w:rPr>
        <w:rFonts w:ascii="Wingdings" w:hAnsi="Wingdings" w:hint="default"/>
      </w:rPr>
    </w:lvl>
    <w:lvl w:ilvl="5" w:tplc="51EE7858" w:tentative="1">
      <w:start w:val="1"/>
      <w:numFmt w:val="bullet"/>
      <w:lvlText w:val=""/>
      <w:lvlJc w:val="left"/>
      <w:pPr>
        <w:tabs>
          <w:tab w:val="num" w:pos="4320"/>
        </w:tabs>
        <w:ind w:left="4320" w:hanging="360"/>
      </w:pPr>
      <w:rPr>
        <w:rFonts w:ascii="Wingdings" w:hAnsi="Wingdings" w:hint="default"/>
      </w:rPr>
    </w:lvl>
    <w:lvl w:ilvl="6" w:tplc="366AE06A" w:tentative="1">
      <w:start w:val="1"/>
      <w:numFmt w:val="bullet"/>
      <w:lvlText w:val=""/>
      <w:lvlJc w:val="left"/>
      <w:pPr>
        <w:tabs>
          <w:tab w:val="num" w:pos="5040"/>
        </w:tabs>
        <w:ind w:left="5040" w:hanging="360"/>
      </w:pPr>
      <w:rPr>
        <w:rFonts w:ascii="Wingdings" w:hAnsi="Wingdings" w:hint="default"/>
      </w:rPr>
    </w:lvl>
    <w:lvl w:ilvl="7" w:tplc="D24C4700" w:tentative="1">
      <w:start w:val="1"/>
      <w:numFmt w:val="bullet"/>
      <w:lvlText w:val=""/>
      <w:lvlJc w:val="left"/>
      <w:pPr>
        <w:tabs>
          <w:tab w:val="num" w:pos="5760"/>
        </w:tabs>
        <w:ind w:left="5760" w:hanging="360"/>
      </w:pPr>
      <w:rPr>
        <w:rFonts w:ascii="Wingdings" w:hAnsi="Wingdings" w:hint="default"/>
      </w:rPr>
    </w:lvl>
    <w:lvl w:ilvl="8" w:tplc="53D80E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D6EE5"/>
    <w:multiLevelType w:val="hybridMultilevel"/>
    <w:tmpl w:val="2E722AE6"/>
    <w:lvl w:ilvl="0" w:tplc="4692D67C">
      <w:start w:val="1"/>
      <w:numFmt w:val="bullet"/>
      <w:lvlText w:val="•"/>
      <w:lvlJc w:val="left"/>
      <w:pPr>
        <w:tabs>
          <w:tab w:val="num" w:pos="720"/>
        </w:tabs>
        <w:ind w:left="720" w:hanging="360"/>
      </w:pPr>
      <w:rPr>
        <w:rFonts w:ascii="Arial" w:hAnsi="Arial" w:hint="default"/>
      </w:rPr>
    </w:lvl>
    <w:lvl w:ilvl="1" w:tplc="0C569012">
      <w:numFmt w:val="bullet"/>
      <w:lvlText w:val="•"/>
      <w:lvlJc w:val="left"/>
      <w:pPr>
        <w:tabs>
          <w:tab w:val="num" w:pos="1440"/>
        </w:tabs>
        <w:ind w:left="1440" w:hanging="360"/>
      </w:pPr>
      <w:rPr>
        <w:rFonts w:ascii="Arial" w:hAnsi="Arial" w:hint="default"/>
      </w:rPr>
    </w:lvl>
    <w:lvl w:ilvl="2" w:tplc="A9A81048">
      <w:start w:val="1"/>
      <w:numFmt w:val="bullet"/>
      <w:lvlText w:val="•"/>
      <w:lvlJc w:val="left"/>
      <w:pPr>
        <w:tabs>
          <w:tab w:val="num" w:pos="2160"/>
        </w:tabs>
        <w:ind w:left="2160" w:hanging="360"/>
      </w:pPr>
      <w:rPr>
        <w:rFonts w:ascii="Arial" w:hAnsi="Arial" w:hint="default"/>
      </w:rPr>
    </w:lvl>
    <w:lvl w:ilvl="3" w:tplc="12BC29D2" w:tentative="1">
      <w:start w:val="1"/>
      <w:numFmt w:val="bullet"/>
      <w:lvlText w:val="•"/>
      <w:lvlJc w:val="left"/>
      <w:pPr>
        <w:tabs>
          <w:tab w:val="num" w:pos="2880"/>
        </w:tabs>
        <w:ind w:left="2880" w:hanging="360"/>
      </w:pPr>
      <w:rPr>
        <w:rFonts w:ascii="Arial" w:hAnsi="Arial" w:hint="default"/>
      </w:rPr>
    </w:lvl>
    <w:lvl w:ilvl="4" w:tplc="C256CF4C" w:tentative="1">
      <w:start w:val="1"/>
      <w:numFmt w:val="bullet"/>
      <w:lvlText w:val="•"/>
      <w:lvlJc w:val="left"/>
      <w:pPr>
        <w:tabs>
          <w:tab w:val="num" w:pos="3600"/>
        </w:tabs>
        <w:ind w:left="3600" w:hanging="360"/>
      </w:pPr>
      <w:rPr>
        <w:rFonts w:ascii="Arial" w:hAnsi="Arial" w:hint="default"/>
      </w:rPr>
    </w:lvl>
    <w:lvl w:ilvl="5" w:tplc="36D4CDDC" w:tentative="1">
      <w:start w:val="1"/>
      <w:numFmt w:val="bullet"/>
      <w:lvlText w:val="•"/>
      <w:lvlJc w:val="left"/>
      <w:pPr>
        <w:tabs>
          <w:tab w:val="num" w:pos="4320"/>
        </w:tabs>
        <w:ind w:left="4320" w:hanging="360"/>
      </w:pPr>
      <w:rPr>
        <w:rFonts w:ascii="Arial" w:hAnsi="Arial" w:hint="default"/>
      </w:rPr>
    </w:lvl>
    <w:lvl w:ilvl="6" w:tplc="224E4B92" w:tentative="1">
      <w:start w:val="1"/>
      <w:numFmt w:val="bullet"/>
      <w:lvlText w:val="•"/>
      <w:lvlJc w:val="left"/>
      <w:pPr>
        <w:tabs>
          <w:tab w:val="num" w:pos="5040"/>
        </w:tabs>
        <w:ind w:left="5040" w:hanging="360"/>
      </w:pPr>
      <w:rPr>
        <w:rFonts w:ascii="Arial" w:hAnsi="Arial" w:hint="default"/>
      </w:rPr>
    </w:lvl>
    <w:lvl w:ilvl="7" w:tplc="B86EDF16" w:tentative="1">
      <w:start w:val="1"/>
      <w:numFmt w:val="bullet"/>
      <w:lvlText w:val="•"/>
      <w:lvlJc w:val="left"/>
      <w:pPr>
        <w:tabs>
          <w:tab w:val="num" w:pos="5760"/>
        </w:tabs>
        <w:ind w:left="5760" w:hanging="360"/>
      </w:pPr>
      <w:rPr>
        <w:rFonts w:ascii="Arial" w:hAnsi="Arial" w:hint="default"/>
      </w:rPr>
    </w:lvl>
    <w:lvl w:ilvl="8" w:tplc="115668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B25501"/>
    <w:multiLevelType w:val="hybridMultilevel"/>
    <w:tmpl w:val="8014023A"/>
    <w:lvl w:ilvl="0" w:tplc="B8FAE3B0">
      <w:start w:val="1"/>
      <w:numFmt w:val="bullet"/>
      <w:lvlText w:val="•"/>
      <w:lvlJc w:val="left"/>
      <w:pPr>
        <w:tabs>
          <w:tab w:val="num" w:pos="720"/>
        </w:tabs>
        <w:ind w:left="720" w:hanging="360"/>
      </w:pPr>
      <w:rPr>
        <w:rFonts w:ascii="Arial" w:hAnsi="Arial" w:hint="default"/>
      </w:rPr>
    </w:lvl>
    <w:lvl w:ilvl="1" w:tplc="7FFA1C8C">
      <w:numFmt w:val="bullet"/>
      <w:lvlText w:val="•"/>
      <w:lvlJc w:val="left"/>
      <w:pPr>
        <w:tabs>
          <w:tab w:val="num" w:pos="1440"/>
        </w:tabs>
        <w:ind w:left="1440" w:hanging="360"/>
      </w:pPr>
      <w:rPr>
        <w:rFonts w:ascii="Arial" w:hAnsi="Arial" w:hint="default"/>
      </w:rPr>
    </w:lvl>
    <w:lvl w:ilvl="2" w:tplc="9A0C3B8C" w:tentative="1">
      <w:start w:val="1"/>
      <w:numFmt w:val="bullet"/>
      <w:lvlText w:val="•"/>
      <w:lvlJc w:val="left"/>
      <w:pPr>
        <w:tabs>
          <w:tab w:val="num" w:pos="2160"/>
        </w:tabs>
        <w:ind w:left="2160" w:hanging="360"/>
      </w:pPr>
      <w:rPr>
        <w:rFonts w:ascii="Arial" w:hAnsi="Arial" w:hint="default"/>
      </w:rPr>
    </w:lvl>
    <w:lvl w:ilvl="3" w:tplc="B9602AC8" w:tentative="1">
      <w:start w:val="1"/>
      <w:numFmt w:val="bullet"/>
      <w:lvlText w:val="•"/>
      <w:lvlJc w:val="left"/>
      <w:pPr>
        <w:tabs>
          <w:tab w:val="num" w:pos="2880"/>
        </w:tabs>
        <w:ind w:left="2880" w:hanging="360"/>
      </w:pPr>
      <w:rPr>
        <w:rFonts w:ascii="Arial" w:hAnsi="Arial" w:hint="default"/>
      </w:rPr>
    </w:lvl>
    <w:lvl w:ilvl="4" w:tplc="96248662" w:tentative="1">
      <w:start w:val="1"/>
      <w:numFmt w:val="bullet"/>
      <w:lvlText w:val="•"/>
      <w:lvlJc w:val="left"/>
      <w:pPr>
        <w:tabs>
          <w:tab w:val="num" w:pos="3600"/>
        </w:tabs>
        <w:ind w:left="3600" w:hanging="360"/>
      </w:pPr>
      <w:rPr>
        <w:rFonts w:ascii="Arial" w:hAnsi="Arial" w:hint="default"/>
      </w:rPr>
    </w:lvl>
    <w:lvl w:ilvl="5" w:tplc="C514161E" w:tentative="1">
      <w:start w:val="1"/>
      <w:numFmt w:val="bullet"/>
      <w:lvlText w:val="•"/>
      <w:lvlJc w:val="left"/>
      <w:pPr>
        <w:tabs>
          <w:tab w:val="num" w:pos="4320"/>
        </w:tabs>
        <w:ind w:left="4320" w:hanging="360"/>
      </w:pPr>
      <w:rPr>
        <w:rFonts w:ascii="Arial" w:hAnsi="Arial" w:hint="default"/>
      </w:rPr>
    </w:lvl>
    <w:lvl w:ilvl="6" w:tplc="E51E6E2E" w:tentative="1">
      <w:start w:val="1"/>
      <w:numFmt w:val="bullet"/>
      <w:lvlText w:val="•"/>
      <w:lvlJc w:val="left"/>
      <w:pPr>
        <w:tabs>
          <w:tab w:val="num" w:pos="5040"/>
        </w:tabs>
        <w:ind w:left="5040" w:hanging="360"/>
      </w:pPr>
      <w:rPr>
        <w:rFonts w:ascii="Arial" w:hAnsi="Arial" w:hint="default"/>
      </w:rPr>
    </w:lvl>
    <w:lvl w:ilvl="7" w:tplc="6A2458F6" w:tentative="1">
      <w:start w:val="1"/>
      <w:numFmt w:val="bullet"/>
      <w:lvlText w:val="•"/>
      <w:lvlJc w:val="left"/>
      <w:pPr>
        <w:tabs>
          <w:tab w:val="num" w:pos="5760"/>
        </w:tabs>
        <w:ind w:left="5760" w:hanging="360"/>
      </w:pPr>
      <w:rPr>
        <w:rFonts w:ascii="Arial" w:hAnsi="Arial" w:hint="default"/>
      </w:rPr>
    </w:lvl>
    <w:lvl w:ilvl="8" w:tplc="440C0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F2556D"/>
    <w:multiLevelType w:val="hybridMultilevel"/>
    <w:tmpl w:val="14A8EA5A"/>
    <w:lvl w:ilvl="0" w:tplc="0DAE50EA">
      <w:start w:val="1"/>
      <w:numFmt w:val="bullet"/>
      <w:lvlText w:val="•"/>
      <w:lvlJc w:val="left"/>
      <w:pPr>
        <w:tabs>
          <w:tab w:val="num" w:pos="720"/>
        </w:tabs>
        <w:ind w:left="720" w:hanging="360"/>
      </w:pPr>
      <w:rPr>
        <w:rFonts w:ascii="Arial" w:hAnsi="Arial" w:hint="default"/>
      </w:rPr>
    </w:lvl>
    <w:lvl w:ilvl="1" w:tplc="B2E0AF96">
      <w:numFmt w:val="bullet"/>
      <w:lvlText w:val="•"/>
      <w:lvlJc w:val="left"/>
      <w:pPr>
        <w:tabs>
          <w:tab w:val="num" w:pos="1440"/>
        </w:tabs>
        <w:ind w:left="1440" w:hanging="360"/>
      </w:pPr>
      <w:rPr>
        <w:rFonts w:ascii="Arial" w:hAnsi="Arial" w:hint="default"/>
      </w:rPr>
    </w:lvl>
    <w:lvl w:ilvl="2" w:tplc="80F0EC32" w:tentative="1">
      <w:start w:val="1"/>
      <w:numFmt w:val="bullet"/>
      <w:lvlText w:val="•"/>
      <w:lvlJc w:val="left"/>
      <w:pPr>
        <w:tabs>
          <w:tab w:val="num" w:pos="2160"/>
        </w:tabs>
        <w:ind w:left="2160" w:hanging="360"/>
      </w:pPr>
      <w:rPr>
        <w:rFonts w:ascii="Arial" w:hAnsi="Arial" w:hint="default"/>
      </w:rPr>
    </w:lvl>
    <w:lvl w:ilvl="3" w:tplc="E7BEF702" w:tentative="1">
      <w:start w:val="1"/>
      <w:numFmt w:val="bullet"/>
      <w:lvlText w:val="•"/>
      <w:lvlJc w:val="left"/>
      <w:pPr>
        <w:tabs>
          <w:tab w:val="num" w:pos="2880"/>
        </w:tabs>
        <w:ind w:left="2880" w:hanging="360"/>
      </w:pPr>
      <w:rPr>
        <w:rFonts w:ascii="Arial" w:hAnsi="Arial" w:hint="default"/>
      </w:rPr>
    </w:lvl>
    <w:lvl w:ilvl="4" w:tplc="B11874F2" w:tentative="1">
      <w:start w:val="1"/>
      <w:numFmt w:val="bullet"/>
      <w:lvlText w:val="•"/>
      <w:lvlJc w:val="left"/>
      <w:pPr>
        <w:tabs>
          <w:tab w:val="num" w:pos="3600"/>
        </w:tabs>
        <w:ind w:left="3600" w:hanging="360"/>
      </w:pPr>
      <w:rPr>
        <w:rFonts w:ascii="Arial" w:hAnsi="Arial" w:hint="default"/>
      </w:rPr>
    </w:lvl>
    <w:lvl w:ilvl="5" w:tplc="FFB0C022" w:tentative="1">
      <w:start w:val="1"/>
      <w:numFmt w:val="bullet"/>
      <w:lvlText w:val="•"/>
      <w:lvlJc w:val="left"/>
      <w:pPr>
        <w:tabs>
          <w:tab w:val="num" w:pos="4320"/>
        </w:tabs>
        <w:ind w:left="4320" w:hanging="360"/>
      </w:pPr>
      <w:rPr>
        <w:rFonts w:ascii="Arial" w:hAnsi="Arial" w:hint="default"/>
      </w:rPr>
    </w:lvl>
    <w:lvl w:ilvl="6" w:tplc="72989CF8" w:tentative="1">
      <w:start w:val="1"/>
      <w:numFmt w:val="bullet"/>
      <w:lvlText w:val="•"/>
      <w:lvlJc w:val="left"/>
      <w:pPr>
        <w:tabs>
          <w:tab w:val="num" w:pos="5040"/>
        </w:tabs>
        <w:ind w:left="5040" w:hanging="360"/>
      </w:pPr>
      <w:rPr>
        <w:rFonts w:ascii="Arial" w:hAnsi="Arial" w:hint="default"/>
      </w:rPr>
    </w:lvl>
    <w:lvl w:ilvl="7" w:tplc="739A7114" w:tentative="1">
      <w:start w:val="1"/>
      <w:numFmt w:val="bullet"/>
      <w:lvlText w:val="•"/>
      <w:lvlJc w:val="left"/>
      <w:pPr>
        <w:tabs>
          <w:tab w:val="num" w:pos="5760"/>
        </w:tabs>
        <w:ind w:left="5760" w:hanging="360"/>
      </w:pPr>
      <w:rPr>
        <w:rFonts w:ascii="Arial" w:hAnsi="Arial" w:hint="default"/>
      </w:rPr>
    </w:lvl>
    <w:lvl w:ilvl="8" w:tplc="766C73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493CCE"/>
    <w:multiLevelType w:val="hybridMultilevel"/>
    <w:tmpl w:val="D75C8CF0"/>
    <w:lvl w:ilvl="0" w:tplc="756871AC">
      <w:start w:val="1"/>
      <w:numFmt w:val="bullet"/>
      <w:lvlText w:val="•"/>
      <w:lvlJc w:val="left"/>
      <w:pPr>
        <w:tabs>
          <w:tab w:val="num" w:pos="360"/>
        </w:tabs>
        <w:ind w:left="360" w:hanging="360"/>
      </w:pPr>
      <w:rPr>
        <w:rFonts w:ascii="Arial" w:hAnsi="Arial" w:hint="default"/>
      </w:rPr>
    </w:lvl>
    <w:lvl w:ilvl="1" w:tplc="420C5CCC" w:tentative="1">
      <w:start w:val="1"/>
      <w:numFmt w:val="bullet"/>
      <w:lvlText w:val="•"/>
      <w:lvlJc w:val="left"/>
      <w:pPr>
        <w:tabs>
          <w:tab w:val="num" w:pos="1080"/>
        </w:tabs>
        <w:ind w:left="1080" w:hanging="360"/>
      </w:pPr>
      <w:rPr>
        <w:rFonts w:ascii="Arial" w:hAnsi="Arial" w:hint="default"/>
      </w:rPr>
    </w:lvl>
    <w:lvl w:ilvl="2" w:tplc="5502B0AC" w:tentative="1">
      <w:start w:val="1"/>
      <w:numFmt w:val="bullet"/>
      <w:lvlText w:val="•"/>
      <w:lvlJc w:val="left"/>
      <w:pPr>
        <w:tabs>
          <w:tab w:val="num" w:pos="1800"/>
        </w:tabs>
        <w:ind w:left="1800" w:hanging="360"/>
      </w:pPr>
      <w:rPr>
        <w:rFonts w:ascii="Arial" w:hAnsi="Arial" w:hint="default"/>
      </w:rPr>
    </w:lvl>
    <w:lvl w:ilvl="3" w:tplc="6B9CC1C0" w:tentative="1">
      <w:start w:val="1"/>
      <w:numFmt w:val="bullet"/>
      <w:lvlText w:val="•"/>
      <w:lvlJc w:val="left"/>
      <w:pPr>
        <w:tabs>
          <w:tab w:val="num" w:pos="2520"/>
        </w:tabs>
        <w:ind w:left="2520" w:hanging="360"/>
      </w:pPr>
      <w:rPr>
        <w:rFonts w:ascii="Arial" w:hAnsi="Arial" w:hint="default"/>
      </w:rPr>
    </w:lvl>
    <w:lvl w:ilvl="4" w:tplc="74962A7E" w:tentative="1">
      <w:start w:val="1"/>
      <w:numFmt w:val="bullet"/>
      <w:lvlText w:val="•"/>
      <w:lvlJc w:val="left"/>
      <w:pPr>
        <w:tabs>
          <w:tab w:val="num" w:pos="3240"/>
        </w:tabs>
        <w:ind w:left="3240" w:hanging="360"/>
      </w:pPr>
      <w:rPr>
        <w:rFonts w:ascii="Arial" w:hAnsi="Arial" w:hint="default"/>
      </w:rPr>
    </w:lvl>
    <w:lvl w:ilvl="5" w:tplc="A9EC4EA6" w:tentative="1">
      <w:start w:val="1"/>
      <w:numFmt w:val="bullet"/>
      <w:lvlText w:val="•"/>
      <w:lvlJc w:val="left"/>
      <w:pPr>
        <w:tabs>
          <w:tab w:val="num" w:pos="3960"/>
        </w:tabs>
        <w:ind w:left="3960" w:hanging="360"/>
      </w:pPr>
      <w:rPr>
        <w:rFonts w:ascii="Arial" w:hAnsi="Arial" w:hint="default"/>
      </w:rPr>
    </w:lvl>
    <w:lvl w:ilvl="6" w:tplc="B04013F8" w:tentative="1">
      <w:start w:val="1"/>
      <w:numFmt w:val="bullet"/>
      <w:lvlText w:val="•"/>
      <w:lvlJc w:val="left"/>
      <w:pPr>
        <w:tabs>
          <w:tab w:val="num" w:pos="4680"/>
        </w:tabs>
        <w:ind w:left="4680" w:hanging="360"/>
      </w:pPr>
      <w:rPr>
        <w:rFonts w:ascii="Arial" w:hAnsi="Arial" w:hint="default"/>
      </w:rPr>
    </w:lvl>
    <w:lvl w:ilvl="7" w:tplc="76D65080" w:tentative="1">
      <w:start w:val="1"/>
      <w:numFmt w:val="bullet"/>
      <w:lvlText w:val="•"/>
      <w:lvlJc w:val="left"/>
      <w:pPr>
        <w:tabs>
          <w:tab w:val="num" w:pos="5400"/>
        </w:tabs>
        <w:ind w:left="5400" w:hanging="360"/>
      </w:pPr>
      <w:rPr>
        <w:rFonts w:ascii="Arial" w:hAnsi="Arial" w:hint="default"/>
      </w:rPr>
    </w:lvl>
    <w:lvl w:ilvl="8" w:tplc="B0BA61C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6016A6"/>
    <w:multiLevelType w:val="hybridMultilevel"/>
    <w:tmpl w:val="13C270EC"/>
    <w:lvl w:ilvl="0" w:tplc="A82659E0">
      <w:start w:val="1"/>
      <w:numFmt w:val="bullet"/>
      <w:lvlText w:val="•"/>
      <w:lvlJc w:val="left"/>
      <w:pPr>
        <w:tabs>
          <w:tab w:val="num" w:pos="720"/>
        </w:tabs>
        <w:ind w:left="720" w:hanging="360"/>
      </w:pPr>
      <w:rPr>
        <w:rFonts w:ascii="Arial" w:hAnsi="Arial" w:hint="default"/>
      </w:rPr>
    </w:lvl>
    <w:lvl w:ilvl="1" w:tplc="820ED052">
      <w:numFmt w:val="bullet"/>
      <w:lvlText w:val="•"/>
      <w:lvlJc w:val="left"/>
      <w:pPr>
        <w:tabs>
          <w:tab w:val="num" w:pos="1440"/>
        </w:tabs>
        <w:ind w:left="1440" w:hanging="360"/>
      </w:pPr>
      <w:rPr>
        <w:rFonts w:ascii="Arial" w:hAnsi="Arial" w:hint="default"/>
      </w:rPr>
    </w:lvl>
    <w:lvl w:ilvl="2" w:tplc="6F849FA2" w:tentative="1">
      <w:start w:val="1"/>
      <w:numFmt w:val="bullet"/>
      <w:lvlText w:val="•"/>
      <w:lvlJc w:val="left"/>
      <w:pPr>
        <w:tabs>
          <w:tab w:val="num" w:pos="2160"/>
        </w:tabs>
        <w:ind w:left="2160" w:hanging="360"/>
      </w:pPr>
      <w:rPr>
        <w:rFonts w:ascii="Arial" w:hAnsi="Arial" w:hint="default"/>
      </w:rPr>
    </w:lvl>
    <w:lvl w:ilvl="3" w:tplc="8F8A3804" w:tentative="1">
      <w:start w:val="1"/>
      <w:numFmt w:val="bullet"/>
      <w:lvlText w:val="•"/>
      <w:lvlJc w:val="left"/>
      <w:pPr>
        <w:tabs>
          <w:tab w:val="num" w:pos="2880"/>
        </w:tabs>
        <w:ind w:left="2880" w:hanging="360"/>
      </w:pPr>
      <w:rPr>
        <w:rFonts w:ascii="Arial" w:hAnsi="Arial" w:hint="default"/>
      </w:rPr>
    </w:lvl>
    <w:lvl w:ilvl="4" w:tplc="687CCE62" w:tentative="1">
      <w:start w:val="1"/>
      <w:numFmt w:val="bullet"/>
      <w:lvlText w:val="•"/>
      <w:lvlJc w:val="left"/>
      <w:pPr>
        <w:tabs>
          <w:tab w:val="num" w:pos="3600"/>
        </w:tabs>
        <w:ind w:left="3600" w:hanging="360"/>
      </w:pPr>
      <w:rPr>
        <w:rFonts w:ascii="Arial" w:hAnsi="Arial" w:hint="default"/>
      </w:rPr>
    </w:lvl>
    <w:lvl w:ilvl="5" w:tplc="27BCC208" w:tentative="1">
      <w:start w:val="1"/>
      <w:numFmt w:val="bullet"/>
      <w:lvlText w:val="•"/>
      <w:lvlJc w:val="left"/>
      <w:pPr>
        <w:tabs>
          <w:tab w:val="num" w:pos="4320"/>
        </w:tabs>
        <w:ind w:left="4320" w:hanging="360"/>
      </w:pPr>
      <w:rPr>
        <w:rFonts w:ascii="Arial" w:hAnsi="Arial" w:hint="default"/>
      </w:rPr>
    </w:lvl>
    <w:lvl w:ilvl="6" w:tplc="2F0078E2" w:tentative="1">
      <w:start w:val="1"/>
      <w:numFmt w:val="bullet"/>
      <w:lvlText w:val="•"/>
      <w:lvlJc w:val="left"/>
      <w:pPr>
        <w:tabs>
          <w:tab w:val="num" w:pos="5040"/>
        </w:tabs>
        <w:ind w:left="5040" w:hanging="360"/>
      </w:pPr>
      <w:rPr>
        <w:rFonts w:ascii="Arial" w:hAnsi="Arial" w:hint="default"/>
      </w:rPr>
    </w:lvl>
    <w:lvl w:ilvl="7" w:tplc="04EC4F28" w:tentative="1">
      <w:start w:val="1"/>
      <w:numFmt w:val="bullet"/>
      <w:lvlText w:val="•"/>
      <w:lvlJc w:val="left"/>
      <w:pPr>
        <w:tabs>
          <w:tab w:val="num" w:pos="5760"/>
        </w:tabs>
        <w:ind w:left="5760" w:hanging="360"/>
      </w:pPr>
      <w:rPr>
        <w:rFonts w:ascii="Arial" w:hAnsi="Arial" w:hint="default"/>
      </w:rPr>
    </w:lvl>
    <w:lvl w:ilvl="8" w:tplc="1FAED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6876BE"/>
    <w:multiLevelType w:val="hybridMultilevel"/>
    <w:tmpl w:val="5ECC4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B05F06"/>
    <w:multiLevelType w:val="hybridMultilevel"/>
    <w:tmpl w:val="41CED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A146FB"/>
    <w:multiLevelType w:val="hybridMultilevel"/>
    <w:tmpl w:val="5C1AB550"/>
    <w:lvl w:ilvl="0" w:tplc="1DC685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CCD05A2"/>
    <w:multiLevelType w:val="hybridMultilevel"/>
    <w:tmpl w:val="F54AB010"/>
    <w:lvl w:ilvl="0" w:tplc="85F8F2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6"/>
  </w:num>
  <w:num w:numId="4">
    <w:abstractNumId w:val="14"/>
  </w:num>
  <w:num w:numId="5">
    <w:abstractNumId w:val="20"/>
  </w:num>
  <w:num w:numId="6">
    <w:abstractNumId w:val="3"/>
  </w:num>
  <w:num w:numId="7">
    <w:abstractNumId w:val="0"/>
  </w:num>
  <w:num w:numId="8">
    <w:abstractNumId w:val="1"/>
  </w:num>
  <w:num w:numId="9">
    <w:abstractNumId w:val="21"/>
  </w:num>
  <w:num w:numId="10">
    <w:abstractNumId w:val="7"/>
  </w:num>
  <w:num w:numId="11">
    <w:abstractNumId w:val="4"/>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5"/>
  </w:num>
  <w:num w:numId="18">
    <w:abstractNumId w:val="22"/>
  </w:num>
  <w:num w:numId="19">
    <w:abstractNumId w:val="8"/>
  </w:num>
  <w:num w:numId="20">
    <w:abstractNumId w:val="18"/>
  </w:num>
  <w:num w:numId="21">
    <w:abstractNumId w:val="17"/>
  </w:num>
  <w:num w:numId="22">
    <w:abstractNumId w:val="11"/>
  </w:num>
  <w:num w:numId="23">
    <w:abstractNumId w:val="13"/>
  </w:num>
  <w:num w:numId="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B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F90"/>
    <w:rsid w:val="00005E66"/>
    <w:rsid w:val="000067E8"/>
    <w:rsid w:val="00006B4B"/>
    <w:rsid w:val="000072B6"/>
    <w:rsid w:val="00007813"/>
    <w:rsid w:val="000102D7"/>
    <w:rsid w:val="000109E6"/>
    <w:rsid w:val="0001116D"/>
    <w:rsid w:val="00011278"/>
    <w:rsid w:val="00011F67"/>
    <w:rsid w:val="0001280C"/>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5EBF"/>
    <w:rsid w:val="00026875"/>
    <w:rsid w:val="00026D4B"/>
    <w:rsid w:val="00026ED9"/>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AD7"/>
    <w:rsid w:val="00041C10"/>
    <w:rsid w:val="00041C57"/>
    <w:rsid w:val="00041D96"/>
    <w:rsid w:val="00042ADB"/>
    <w:rsid w:val="000434B7"/>
    <w:rsid w:val="000435E4"/>
    <w:rsid w:val="00046189"/>
    <w:rsid w:val="00046796"/>
    <w:rsid w:val="000467FD"/>
    <w:rsid w:val="0004682C"/>
    <w:rsid w:val="00046AAF"/>
    <w:rsid w:val="00047225"/>
    <w:rsid w:val="000477CC"/>
    <w:rsid w:val="00047D21"/>
    <w:rsid w:val="00047D47"/>
    <w:rsid w:val="00047E60"/>
    <w:rsid w:val="00050D8A"/>
    <w:rsid w:val="0005109A"/>
    <w:rsid w:val="000512E3"/>
    <w:rsid w:val="00051D59"/>
    <w:rsid w:val="00052144"/>
    <w:rsid w:val="00052AD2"/>
    <w:rsid w:val="00052FEE"/>
    <w:rsid w:val="000530DF"/>
    <w:rsid w:val="00053430"/>
    <w:rsid w:val="000543DD"/>
    <w:rsid w:val="00054BBB"/>
    <w:rsid w:val="00054E0C"/>
    <w:rsid w:val="0005541D"/>
    <w:rsid w:val="00055B33"/>
    <w:rsid w:val="000565C8"/>
    <w:rsid w:val="000567AD"/>
    <w:rsid w:val="00057DC8"/>
    <w:rsid w:val="000602F0"/>
    <w:rsid w:val="00060AB2"/>
    <w:rsid w:val="000612E1"/>
    <w:rsid w:val="000614FE"/>
    <w:rsid w:val="00061A16"/>
    <w:rsid w:val="0006295E"/>
    <w:rsid w:val="00065D38"/>
    <w:rsid w:val="0006694E"/>
    <w:rsid w:val="00067DD1"/>
    <w:rsid w:val="00070447"/>
    <w:rsid w:val="000706E7"/>
    <w:rsid w:val="00070EF8"/>
    <w:rsid w:val="00070F3B"/>
    <w:rsid w:val="00071192"/>
    <w:rsid w:val="000713A7"/>
    <w:rsid w:val="00071784"/>
    <w:rsid w:val="0007258D"/>
    <w:rsid w:val="0007272F"/>
    <w:rsid w:val="00072A80"/>
    <w:rsid w:val="000731A0"/>
    <w:rsid w:val="000736C1"/>
    <w:rsid w:val="00073797"/>
    <w:rsid w:val="00073A82"/>
    <w:rsid w:val="00073DCF"/>
    <w:rsid w:val="00073DEC"/>
    <w:rsid w:val="000745AA"/>
    <w:rsid w:val="00074E86"/>
    <w:rsid w:val="0007557C"/>
    <w:rsid w:val="00076097"/>
    <w:rsid w:val="00076541"/>
    <w:rsid w:val="00076E44"/>
    <w:rsid w:val="000772F4"/>
    <w:rsid w:val="000776EB"/>
    <w:rsid w:val="00080330"/>
    <w:rsid w:val="00080899"/>
    <w:rsid w:val="000823B0"/>
    <w:rsid w:val="0008335B"/>
    <w:rsid w:val="00083379"/>
    <w:rsid w:val="00083587"/>
    <w:rsid w:val="00083838"/>
    <w:rsid w:val="00083B6A"/>
    <w:rsid w:val="000856CE"/>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01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4DFD"/>
    <w:rsid w:val="000B51FA"/>
    <w:rsid w:val="000B56AB"/>
    <w:rsid w:val="000B5905"/>
    <w:rsid w:val="000B5975"/>
    <w:rsid w:val="000B60DB"/>
    <w:rsid w:val="000B6E2C"/>
    <w:rsid w:val="000B76C5"/>
    <w:rsid w:val="000B76F1"/>
    <w:rsid w:val="000B7A10"/>
    <w:rsid w:val="000C055B"/>
    <w:rsid w:val="000C115D"/>
    <w:rsid w:val="000C1535"/>
    <w:rsid w:val="000C1F4B"/>
    <w:rsid w:val="000C214F"/>
    <w:rsid w:val="000C252B"/>
    <w:rsid w:val="000C2FBD"/>
    <w:rsid w:val="000C3B0C"/>
    <w:rsid w:val="000C422D"/>
    <w:rsid w:val="000C5ADD"/>
    <w:rsid w:val="000C5F91"/>
    <w:rsid w:val="000C6025"/>
    <w:rsid w:val="000C6EFA"/>
    <w:rsid w:val="000C6F35"/>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062"/>
    <w:rsid w:val="000F3697"/>
    <w:rsid w:val="000F3898"/>
    <w:rsid w:val="000F3FDD"/>
    <w:rsid w:val="000F407D"/>
    <w:rsid w:val="000F533A"/>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5C55"/>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7A5"/>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3F96"/>
    <w:rsid w:val="001559FA"/>
    <w:rsid w:val="00156374"/>
    <w:rsid w:val="001572C1"/>
    <w:rsid w:val="001577D8"/>
    <w:rsid w:val="00157FC3"/>
    <w:rsid w:val="00160739"/>
    <w:rsid w:val="00161FE4"/>
    <w:rsid w:val="0016271E"/>
    <w:rsid w:val="00162D7A"/>
    <w:rsid w:val="001633C3"/>
    <w:rsid w:val="00163F6A"/>
    <w:rsid w:val="00164DAB"/>
    <w:rsid w:val="0016541D"/>
    <w:rsid w:val="00165BBB"/>
    <w:rsid w:val="00165C72"/>
    <w:rsid w:val="00165FEB"/>
    <w:rsid w:val="0016613F"/>
    <w:rsid w:val="00166215"/>
    <w:rsid w:val="00166487"/>
    <w:rsid w:val="00166591"/>
    <w:rsid w:val="001666C4"/>
    <w:rsid w:val="00166B8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6F2B"/>
    <w:rsid w:val="00187252"/>
    <w:rsid w:val="00187EC2"/>
    <w:rsid w:val="00191C91"/>
    <w:rsid w:val="00192DD9"/>
    <w:rsid w:val="001931A0"/>
    <w:rsid w:val="001931F7"/>
    <w:rsid w:val="00193878"/>
    <w:rsid w:val="00194339"/>
    <w:rsid w:val="001945A8"/>
    <w:rsid w:val="00194848"/>
    <w:rsid w:val="00194BA9"/>
    <w:rsid w:val="00194F68"/>
    <w:rsid w:val="001958B1"/>
    <w:rsid w:val="001958EA"/>
    <w:rsid w:val="00195BAA"/>
    <w:rsid w:val="00195E0E"/>
    <w:rsid w:val="001A01A5"/>
    <w:rsid w:val="001A0E0D"/>
    <w:rsid w:val="001A180D"/>
    <w:rsid w:val="001A1BAC"/>
    <w:rsid w:val="001A22DB"/>
    <w:rsid w:val="001A23CE"/>
    <w:rsid w:val="001A2417"/>
    <w:rsid w:val="001A2C89"/>
    <w:rsid w:val="001A4965"/>
    <w:rsid w:val="001A4A87"/>
    <w:rsid w:val="001A57EE"/>
    <w:rsid w:val="001A5C71"/>
    <w:rsid w:val="001A673E"/>
    <w:rsid w:val="001A67D0"/>
    <w:rsid w:val="001A7763"/>
    <w:rsid w:val="001A7839"/>
    <w:rsid w:val="001B0525"/>
    <w:rsid w:val="001B1A91"/>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B7F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4C55"/>
    <w:rsid w:val="001E5C23"/>
    <w:rsid w:val="001E6354"/>
    <w:rsid w:val="001E6C20"/>
    <w:rsid w:val="001E6F41"/>
    <w:rsid w:val="001E7504"/>
    <w:rsid w:val="001E76DF"/>
    <w:rsid w:val="001F1227"/>
    <w:rsid w:val="001F1308"/>
    <w:rsid w:val="001F1525"/>
    <w:rsid w:val="001F1E87"/>
    <w:rsid w:val="001F1EB6"/>
    <w:rsid w:val="001F2E23"/>
    <w:rsid w:val="001F341F"/>
    <w:rsid w:val="001F360C"/>
    <w:rsid w:val="001F3911"/>
    <w:rsid w:val="001F3F09"/>
    <w:rsid w:val="001F3F1A"/>
    <w:rsid w:val="001F40E6"/>
    <w:rsid w:val="001F4315"/>
    <w:rsid w:val="001F4CBD"/>
    <w:rsid w:val="001F5545"/>
    <w:rsid w:val="001F5777"/>
    <w:rsid w:val="001F5937"/>
    <w:rsid w:val="001F59E3"/>
    <w:rsid w:val="001F59ED"/>
    <w:rsid w:val="001F5A1B"/>
    <w:rsid w:val="001F5A2F"/>
    <w:rsid w:val="001F7121"/>
    <w:rsid w:val="001F7534"/>
    <w:rsid w:val="002009BC"/>
    <w:rsid w:val="00200D2C"/>
    <w:rsid w:val="00201182"/>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0B7A"/>
    <w:rsid w:val="00231C25"/>
    <w:rsid w:val="00231C6F"/>
    <w:rsid w:val="0023244C"/>
    <w:rsid w:val="002329C4"/>
    <w:rsid w:val="00232A90"/>
    <w:rsid w:val="00232B3B"/>
    <w:rsid w:val="00234151"/>
    <w:rsid w:val="00234F8C"/>
    <w:rsid w:val="0023535E"/>
    <w:rsid w:val="00235542"/>
    <w:rsid w:val="00235D43"/>
    <w:rsid w:val="00235DAD"/>
    <w:rsid w:val="002369B0"/>
    <w:rsid w:val="00236AD8"/>
    <w:rsid w:val="00236B3F"/>
    <w:rsid w:val="00236BC8"/>
    <w:rsid w:val="002401F5"/>
    <w:rsid w:val="002407C9"/>
    <w:rsid w:val="00240E54"/>
    <w:rsid w:val="0024196E"/>
    <w:rsid w:val="002419CC"/>
    <w:rsid w:val="00241CFB"/>
    <w:rsid w:val="00242380"/>
    <w:rsid w:val="00243661"/>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4CD2"/>
    <w:rsid w:val="002551D0"/>
    <w:rsid w:val="00255374"/>
    <w:rsid w:val="00255780"/>
    <w:rsid w:val="002559BE"/>
    <w:rsid w:val="00255BA9"/>
    <w:rsid w:val="00257BF4"/>
    <w:rsid w:val="00260003"/>
    <w:rsid w:val="0026035D"/>
    <w:rsid w:val="002606D6"/>
    <w:rsid w:val="00261C98"/>
    <w:rsid w:val="0026248E"/>
    <w:rsid w:val="00262914"/>
    <w:rsid w:val="00263247"/>
    <w:rsid w:val="00263F38"/>
    <w:rsid w:val="002647BF"/>
    <w:rsid w:val="002647D5"/>
    <w:rsid w:val="00265032"/>
    <w:rsid w:val="002651FB"/>
    <w:rsid w:val="0026538C"/>
    <w:rsid w:val="00265781"/>
    <w:rsid w:val="00265933"/>
    <w:rsid w:val="00265E0D"/>
    <w:rsid w:val="00266B13"/>
    <w:rsid w:val="00266B23"/>
    <w:rsid w:val="00267798"/>
    <w:rsid w:val="00270728"/>
    <w:rsid w:val="00270D42"/>
    <w:rsid w:val="00270FA0"/>
    <w:rsid w:val="002714D5"/>
    <w:rsid w:val="0027195D"/>
    <w:rsid w:val="002724CE"/>
    <w:rsid w:val="00272B03"/>
    <w:rsid w:val="002733E2"/>
    <w:rsid w:val="002738D0"/>
    <w:rsid w:val="002750B1"/>
    <w:rsid w:val="00276A35"/>
    <w:rsid w:val="00276F36"/>
    <w:rsid w:val="002774DD"/>
    <w:rsid w:val="00277835"/>
    <w:rsid w:val="00280AB1"/>
    <w:rsid w:val="00281274"/>
    <w:rsid w:val="00281FD1"/>
    <w:rsid w:val="0028344F"/>
    <w:rsid w:val="00283571"/>
    <w:rsid w:val="00283AD1"/>
    <w:rsid w:val="002846CE"/>
    <w:rsid w:val="00284B4D"/>
    <w:rsid w:val="00284BAE"/>
    <w:rsid w:val="002859AF"/>
    <w:rsid w:val="00286AE7"/>
    <w:rsid w:val="0028704F"/>
    <w:rsid w:val="00287243"/>
    <w:rsid w:val="00287552"/>
    <w:rsid w:val="00290647"/>
    <w:rsid w:val="00291385"/>
    <w:rsid w:val="00291422"/>
    <w:rsid w:val="0029237F"/>
    <w:rsid w:val="00292715"/>
    <w:rsid w:val="00293E57"/>
    <w:rsid w:val="002947D1"/>
    <w:rsid w:val="002948DF"/>
    <w:rsid w:val="00294D90"/>
    <w:rsid w:val="0029546B"/>
    <w:rsid w:val="0029598F"/>
    <w:rsid w:val="0029628D"/>
    <w:rsid w:val="002A0348"/>
    <w:rsid w:val="002A0749"/>
    <w:rsid w:val="002A0E29"/>
    <w:rsid w:val="002A1E92"/>
    <w:rsid w:val="002A1E9C"/>
    <w:rsid w:val="002A204D"/>
    <w:rsid w:val="002A223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9D4"/>
    <w:rsid w:val="002E2A5E"/>
    <w:rsid w:val="002E3C65"/>
    <w:rsid w:val="002E3F5B"/>
    <w:rsid w:val="002E4362"/>
    <w:rsid w:val="002E5B07"/>
    <w:rsid w:val="002E5D8B"/>
    <w:rsid w:val="002E63D9"/>
    <w:rsid w:val="002E640E"/>
    <w:rsid w:val="002E669F"/>
    <w:rsid w:val="002E739D"/>
    <w:rsid w:val="002F0C28"/>
    <w:rsid w:val="002F0CCD"/>
    <w:rsid w:val="002F281C"/>
    <w:rsid w:val="002F2999"/>
    <w:rsid w:val="002F3CDE"/>
    <w:rsid w:val="002F559A"/>
    <w:rsid w:val="002F5DD6"/>
    <w:rsid w:val="002F5F17"/>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07279"/>
    <w:rsid w:val="003100C8"/>
    <w:rsid w:val="00310625"/>
    <w:rsid w:val="00310F23"/>
    <w:rsid w:val="00311161"/>
    <w:rsid w:val="00312400"/>
    <w:rsid w:val="00312739"/>
    <w:rsid w:val="00312D10"/>
    <w:rsid w:val="00313C7D"/>
    <w:rsid w:val="00316374"/>
    <w:rsid w:val="00316DFF"/>
    <w:rsid w:val="003172E1"/>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0F5"/>
    <w:rsid w:val="0034226D"/>
    <w:rsid w:val="0034256E"/>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5"/>
    <w:rsid w:val="00355918"/>
    <w:rsid w:val="0035767D"/>
    <w:rsid w:val="00360232"/>
    <w:rsid w:val="003602E0"/>
    <w:rsid w:val="003606C4"/>
    <w:rsid w:val="00360A67"/>
    <w:rsid w:val="00360C85"/>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1E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3F2B"/>
    <w:rsid w:val="003852FB"/>
    <w:rsid w:val="00385429"/>
    <w:rsid w:val="00385B05"/>
    <w:rsid w:val="00386382"/>
    <w:rsid w:val="003865EF"/>
    <w:rsid w:val="00386BA9"/>
    <w:rsid w:val="00387D3B"/>
    <w:rsid w:val="00390017"/>
    <w:rsid w:val="003901A3"/>
    <w:rsid w:val="0039072F"/>
    <w:rsid w:val="00390EC7"/>
    <w:rsid w:val="003919F6"/>
    <w:rsid w:val="0039218D"/>
    <w:rsid w:val="00392A93"/>
    <w:rsid w:val="00392B93"/>
    <w:rsid w:val="003940CE"/>
    <w:rsid w:val="00394739"/>
    <w:rsid w:val="00395800"/>
    <w:rsid w:val="00395826"/>
    <w:rsid w:val="00396D33"/>
    <w:rsid w:val="0039738B"/>
    <w:rsid w:val="00397470"/>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39D4"/>
    <w:rsid w:val="003B43CE"/>
    <w:rsid w:val="003B50BC"/>
    <w:rsid w:val="003B5C7A"/>
    <w:rsid w:val="003B5D97"/>
    <w:rsid w:val="003B63A4"/>
    <w:rsid w:val="003B68FE"/>
    <w:rsid w:val="003B6D7D"/>
    <w:rsid w:val="003B7D7E"/>
    <w:rsid w:val="003C04B9"/>
    <w:rsid w:val="003C074A"/>
    <w:rsid w:val="003C1012"/>
    <w:rsid w:val="003C11C9"/>
    <w:rsid w:val="003C1229"/>
    <w:rsid w:val="003C149B"/>
    <w:rsid w:val="003C1FD4"/>
    <w:rsid w:val="003C213D"/>
    <w:rsid w:val="003C2380"/>
    <w:rsid w:val="003C23D9"/>
    <w:rsid w:val="003C25AD"/>
    <w:rsid w:val="003C2D21"/>
    <w:rsid w:val="003C3715"/>
    <w:rsid w:val="003C4503"/>
    <w:rsid w:val="003C56F7"/>
    <w:rsid w:val="003C5E6B"/>
    <w:rsid w:val="003C5ED6"/>
    <w:rsid w:val="003C6B81"/>
    <w:rsid w:val="003C7AD7"/>
    <w:rsid w:val="003D0322"/>
    <w:rsid w:val="003D0992"/>
    <w:rsid w:val="003D0FC3"/>
    <w:rsid w:val="003D1902"/>
    <w:rsid w:val="003D268E"/>
    <w:rsid w:val="003D2C1D"/>
    <w:rsid w:val="003D2C34"/>
    <w:rsid w:val="003D31B9"/>
    <w:rsid w:val="003D3538"/>
    <w:rsid w:val="003D3568"/>
    <w:rsid w:val="003D3DDD"/>
    <w:rsid w:val="003D4022"/>
    <w:rsid w:val="003D46F1"/>
    <w:rsid w:val="003D5CBF"/>
    <w:rsid w:val="003D60B6"/>
    <w:rsid w:val="003D66D2"/>
    <w:rsid w:val="003D729E"/>
    <w:rsid w:val="003D7C59"/>
    <w:rsid w:val="003E0282"/>
    <w:rsid w:val="003E0473"/>
    <w:rsid w:val="003E07AE"/>
    <w:rsid w:val="003E1098"/>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C84"/>
    <w:rsid w:val="003F324F"/>
    <w:rsid w:val="003F33BC"/>
    <w:rsid w:val="003F3D4E"/>
    <w:rsid w:val="003F4271"/>
    <w:rsid w:val="003F477E"/>
    <w:rsid w:val="003F6CD2"/>
    <w:rsid w:val="003F788D"/>
    <w:rsid w:val="003F7936"/>
    <w:rsid w:val="004006F4"/>
    <w:rsid w:val="004008FE"/>
    <w:rsid w:val="004009C7"/>
    <w:rsid w:val="0040126E"/>
    <w:rsid w:val="004020D4"/>
    <w:rsid w:val="004021B6"/>
    <w:rsid w:val="0040274F"/>
    <w:rsid w:val="004039EC"/>
    <w:rsid w:val="00403F9A"/>
    <w:rsid w:val="004047C4"/>
    <w:rsid w:val="0040523D"/>
    <w:rsid w:val="0040570B"/>
    <w:rsid w:val="00405857"/>
    <w:rsid w:val="00405EDB"/>
    <w:rsid w:val="00405FB1"/>
    <w:rsid w:val="00406460"/>
    <w:rsid w:val="004105F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559"/>
    <w:rsid w:val="00417F6C"/>
    <w:rsid w:val="00421DCF"/>
    <w:rsid w:val="00421F52"/>
    <w:rsid w:val="00422341"/>
    <w:rsid w:val="0042250B"/>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464E"/>
    <w:rsid w:val="00435274"/>
    <w:rsid w:val="004352AD"/>
    <w:rsid w:val="0043545D"/>
    <w:rsid w:val="0043547E"/>
    <w:rsid w:val="00435FE2"/>
    <w:rsid w:val="00436D3F"/>
    <w:rsid w:val="00436DC8"/>
    <w:rsid w:val="00436E2F"/>
    <w:rsid w:val="00436EAB"/>
    <w:rsid w:val="004376CE"/>
    <w:rsid w:val="004405AF"/>
    <w:rsid w:val="004423FF"/>
    <w:rsid w:val="00442E51"/>
    <w:rsid w:val="004434F4"/>
    <w:rsid w:val="00443D0E"/>
    <w:rsid w:val="00445E81"/>
    <w:rsid w:val="004461D9"/>
    <w:rsid w:val="00446AC6"/>
    <w:rsid w:val="004470DE"/>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0FE7"/>
    <w:rsid w:val="0046170F"/>
    <w:rsid w:val="00463172"/>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E6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56E"/>
    <w:rsid w:val="00492D44"/>
    <w:rsid w:val="00493895"/>
    <w:rsid w:val="00493C77"/>
    <w:rsid w:val="00494242"/>
    <w:rsid w:val="00494BB3"/>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243"/>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EDF"/>
    <w:rsid w:val="004D6F4D"/>
    <w:rsid w:val="004D6F95"/>
    <w:rsid w:val="004D70CF"/>
    <w:rsid w:val="004D72FE"/>
    <w:rsid w:val="004D7358"/>
    <w:rsid w:val="004D77A8"/>
    <w:rsid w:val="004D77CC"/>
    <w:rsid w:val="004D7E91"/>
    <w:rsid w:val="004E003A"/>
    <w:rsid w:val="004E0768"/>
    <w:rsid w:val="004E07BF"/>
    <w:rsid w:val="004E1A31"/>
    <w:rsid w:val="004E1C6F"/>
    <w:rsid w:val="004E2413"/>
    <w:rsid w:val="004E2971"/>
    <w:rsid w:val="004E298C"/>
    <w:rsid w:val="004E2DE0"/>
    <w:rsid w:val="004E4060"/>
    <w:rsid w:val="004E409A"/>
    <w:rsid w:val="004E4456"/>
    <w:rsid w:val="004E4FE2"/>
    <w:rsid w:val="004E7A42"/>
    <w:rsid w:val="004E7C7A"/>
    <w:rsid w:val="004E7F04"/>
    <w:rsid w:val="004F0E25"/>
    <w:rsid w:val="004F0FAF"/>
    <w:rsid w:val="004F0FB9"/>
    <w:rsid w:val="004F1C3B"/>
    <w:rsid w:val="004F1C8E"/>
    <w:rsid w:val="004F1DD5"/>
    <w:rsid w:val="004F2910"/>
    <w:rsid w:val="004F2F7E"/>
    <w:rsid w:val="004F32B5"/>
    <w:rsid w:val="004F407E"/>
    <w:rsid w:val="004F41E5"/>
    <w:rsid w:val="004F517A"/>
    <w:rsid w:val="004F5479"/>
    <w:rsid w:val="004F6C73"/>
    <w:rsid w:val="004F7528"/>
    <w:rsid w:val="004F7BCA"/>
    <w:rsid w:val="004F7D89"/>
    <w:rsid w:val="0050130F"/>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0E8"/>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187"/>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F9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07"/>
    <w:rsid w:val="00560D23"/>
    <w:rsid w:val="005615D8"/>
    <w:rsid w:val="00561B5E"/>
    <w:rsid w:val="00561D29"/>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295B"/>
    <w:rsid w:val="0057320B"/>
    <w:rsid w:val="005743DE"/>
    <w:rsid w:val="00574F3F"/>
    <w:rsid w:val="0057562C"/>
    <w:rsid w:val="005759F6"/>
    <w:rsid w:val="00575E3E"/>
    <w:rsid w:val="00575FE7"/>
    <w:rsid w:val="005762EB"/>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465"/>
    <w:rsid w:val="00594ABB"/>
    <w:rsid w:val="00594D1C"/>
    <w:rsid w:val="00594E36"/>
    <w:rsid w:val="00594F0A"/>
    <w:rsid w:val="00595255"/>
    <w:rsid w:val="0059525E"/>
    <w:rsid w:val="00595887"/>
    <w:rsid w:val="00596123"/>
    <w:rsid w:val="005961F7"/>
    <w:rsid w:val="0059629B"/>
    <w:rsid w:val="00596504"/>
    <w:rsid w:val="00596B9C"/>
    <w:rsid w:val="005A04BA"/>
    <w:rsid w:val="005A054D"/>
    <w:rsid w:val="005A0A46"/>
    <w:rsid w:val="005A10B9"/>
    <w:rsid w:val="005A11EA"/>
    <w:rsid w:val="005A1BF0"/>
    <w:rsid w:val="005A260B"/>
    <w:rsid w:val="005A269F"/>
    <w:rsid w:val="005A305E"/>
    <w:rsid w:val="005A30BB"/>
    <w:rsid w:val="005A3887"/>
    <w:rsid w:val="005A57EA"/>
    <w:rsid w:val="005A5E23"/>
    <w:rsid w:val="005A6913"/>
    <w:rsid w:val="005B0542"/>
    <w:rsid w:val="005B1C65"/>
    <w:rsid w:val="005B1FD1"/>
    <w:rsid w:val="005B2225"/>
    <w:rsid w:val="005B2799"/>
    <w:rsid w:val="005B2B77"/>
    <w:rsid w:val="005B3330"/>
    <w:rsid w:val="005B3D4A"/>
    <w:rsid w:val="005B4D87"/>
    <w:rsid w:val="005B519B"/>
    <w:rsid w:val="005B6111"/>
    <w:rsid w:val="005B767B"/>
    <w:rsid w:val="005B7DD1"/>
    <w:rsid w:val="005C00A0"/>
    <w:rsid w:val="005C0A1E"/>
    <w:rsid w:val="005C0BEF"/>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180"/>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BA1"/>
    <w:rsid w:val="00633E54"/>
    <w:rsid w:val="00634ACF"/>
    <w:rsid w:val="00635035"/>
    <w:rsid w:val="0063580D"/>
    <w:rsid w:val="00635CAE"/>
    <w:rsid w:val="00637240"/>
    <w:rsid w:val="00643607"/>
    <w:rsid w:val="00643660"/>
    <w:rsid w:val="006447DC"/>
    <w:rsid w:val="00644C95"/>
    <w:rsid w:val="00644EF4"/>
    <w:rsid w:val="00645361"/>
    <w:rsid w:val="00645817"/>
    <w:rsid w:val="00646711"/>
    <w:rsid w:val="006475AB"/>
    <w:rsid w:val="00647CBC"/>
    <w:rsid w:val="00650139"/>
    <w:rsid w:val="006504F1"/>
    <w:rsid w:val="00651704"/>
    <w:rsid w:val="0065185B"/>
    <w:rsid w:val="00652756"/>
    <w:rsid w:val="00652AD8"/>
    <w:rsid w:val="00652B79"/>
    <w:rsid w:val="006533C3"/>
    <w:rsid w:val="00653B77"/>
    <w:rsid w:val="00654068"/>
    <w:rsid w:val="0065479C"/>
    <w:rsid w:val="00654B38"/>
    <w:rsid w:val="00654B83"/>
    <w:rsid w:val="00655061"/>
    <w:rsid w:val="0065510C"/>
    <w:rsid w:val="0065565F"/>
    <w:rsid w:val="0065589D"/>
    <w:rsid w:val="00655B63"/>
    <w:rsid w:val="006571F6"/>
    <w:rsid w:val="00660837"/>
    <w:rsid w:val="006613F4"/>
    <w:rsid w:val="006618CC"/>
    <w:rsid w:val="00661ACB"/>
    <w:rsid w:val="00661E09"/>
    <w:rsid w:val="00662111"/>
    <w:rsid w:val="00662118"/>
    <w:rsid w:val="00662E2F"/>
    <w:rsid w:val="006638AD"/>
    <w:rsid w:val="006642EC"/>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094"/>
    <w:rsid w:val="00677443"/>
    <w:rsid w:val="0067769A"/>
    <w:rsid w:val="00677B6A"/>
    <w:rsid w:val="00680022"/>
    <w:rsid w:val="006806A3"/>
    <w:rsid w:val="006806A6"/>
    <w:rsid w:val="00680C38"/>
    <w:rsid w:val="0068118B"/>
    <w:rsid w:val="00681211"/>
    <w:rsid w:val="0068125F"/>
    <w:rsid w:val="00681B36"/>
    <w:rsid w:val="00682D81"/>
    <w:rsid w:val="00682E14"/>
    <w:rsid w:val="006832B0"/>
    <w:rsid w:val="00683B5F"/>
    <w:rsid w:val="0068436C"/>
    <w:rsid w:val="006851C4"/>
    <w:rsid w:val="0068545E"/>
    <w:rsid w:val="00685FD4"/>
    <w:rsid w:val="006860A2"/>
    <w:rsid w:val="00686612"/>
    <w:rsid w:val="0068661E"/>
    <w:rsid w:val="006868A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437"/>
    <w:rsid w:val="006A6262"/>
    <w:rsid w:val="006A6E17"/>
    <w:rsid w:val="006B120D"/>
    <w:rsid w:val="006B17E7"/>
    <w:rsid w:val="006B19E8"/>
    <w:rsid w:val="006B1A8A"/>
    <w:rsid w:val="006B1FD5"/>
    <w:rsid w:val="006B24D6"/>
    <w:rsid w:val="006B2F57"/>
    <w:rsid w:val="006B3B9C"/>
    <w:rsid w:val="006B475C"/>
    <w:rsid w:val="006B4BE3"/>
    <w:rsid w:val="006B4ED7"/>
    <w:rsid w:val="006B506C"/>
    <w:rsid w:val="006B555A"/>
    <w:rsid w:val="006B5BD6"/>
    <w:rsid w:val="006B600A"/>
    <w:rsid w:val="006B6635"/>
    <w:rsid w:val="006B7466"/>
    <w:rsid w:val="006B7A69"/>
    <w:rsid w:val="006B7D22"/>
    <w:rsid w:val="006B7D2C"/>
    <w:rsid w:val="006C0215"/>
    <w:rsid w:val="006C1019"/>
    <w:rsid w:val="006C2006"/>
    <w:rsid w:val="006C2BB5"/>
    <w:rsid w:val="006C2BEE"/>
    <w:rsid w:val="006C2C71"/>
    <w:rsid w:val="006C3AD8"/>
    <w:rsid w:val="006C4516"/>
    <w:rsid w:val="006C455E"/>
    <w:rsid w:val="006C5393"/>
    <w:rsid w:val="006C5958"/>
    <w:rsid w:val="006C5B4F"/>
    <w:rsid w:val="006C643C"/>
    <w:rsid w:val="006C6809"/>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9B8"/>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18B1"/>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A85"/>
    <w:rsid w:val="00712C42"/>
    <w:rsid w:val="0071312C"/>
    <w:rsid w:val="007136E0"/>
    <w:rsid w:val="00713DE4"/>
    <w:rsid w:val="00714C47"/>
    <w:rsid w:val="007157CD"/>
    <w:rsid w:val="00715D69"/>
    <w:rsid w:val="00716190"/>
    <w:rsid w:val="00716462"/>
    <w:rsid w:val="00716DBD"/>
    <w:rsid w:val="00717CCE"/>
    <w:rsid w:val="00720093"/>
    <w:rsid w:val="00721084"/>
    <w:rsid w:val="00721262"/>
    <w:rsid w:val="00721D9B"/>
    <w:rsid w:val="00721E63"/>
    <w:rsid w:val="00722121"/>
    <w:rsid w:val="007224B9"/>
    <w:rsid w:val="00722F94"/>
    <w:rsid w:val="00723AA7"/>
    <w:rsid w:val="0072432E"/>
    <w:rsid w:val="0072530E"/>
    <w:rsid w:val="00725AC8"/>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796"/>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ABD"/>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1D7B"/>
    <w:rsid w:val="00771FF3"/>
    <w:rsid w:val="00772999"/>
    <w:rsid w:val="00772F8A"/>
    <w:rsid w:val="00773641"/>
    <w:rsid w:val="007739C6"/>
    <w:rsid w:val="00774889"/>
    <w:rsid w:val="00774FF5"/>
    <w:rsid w:val="007750B3"/>
    <w:rsid w:val="00775F76"/>
    <w:rsid w:val="00776AEA"/>
    <w:rsid w:val="00777BA0"/>
    <w:rsid w:val="007803BD"/>
    <w:rsid w:val="00780507"/>
    <w:rsid w:val="007808A4"/>
    <w:rsid w:val="007811DC"/>
    <w:rsid w:val="007820FA"/>
    <w:rsid w:val="00782371"/>
    <w:rsid w:val="0078285F"/>
    <w:rsid w:val="00783207"/>
    <w:rsid w:val="0078346F"/>
    <w:rsid w:val="00783E1D"/>
    <w:rsid w:val="0078483B"/>
    <w:rsid w:val="00784C52"/>
    <w:rsid w:val="00784EED"/>
    <w:rsid w:val="007851E8"/>
    <w:rsid w:val="00785900"/>
    <w:rsid w:val="00785946"/>
    <w:rsid w:val="00786810"/>
    <w:rsid w:val="00786958"/>
    <w:rsid w:val="00786A97"/>
    <w:rsid w:val="00786E71"/>
    <w:rsid w:val="007908F8"/>
    <w:rsid w:val="0079162F"/>
    <w:rsid w:val="00794924"/>
    <w:rsid w:val="0079506E"/>
    <w:rsid w:val="007A0BC2"/>
    <w:rsid w:val="007A0CBB"/>
    <w:rsid w:val="007A1F44"/>
    <w:rsid w:val="007A23FF"/>
    <w:rsid w:val="007A25D6"/>
    <w:rsid w:val="007A295B"/>
    <w:rsid w:val="007A29B3"/>
    <w:rsid w:val="007A2EE2"/>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85F"/>
    <w:rsid w:val="007C2977"/>
    <w:rsid w:val="007C2A16"/>
    <w:rsid w:val="007C2ABC"/>
    <w:rsid w:val="007C2D98"/>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3EBC"/>
    <w:rsid w:val="007D4178"/>
    <w:rsid w:val="007D4D33"/>
    <w:rsid w:val="007D5403"/>
    <w:rsid w:val="007D638C"/>
    <w:rsid w:val="007D66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81"/>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2F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DFB"/>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04"/>
    <w:rsid w:val="0084556E"/>
    <w:rsid w:val="00845B5C"/>
    <w:rsid w:val="00845C12"/>
    <w:rsid w:val="00846548"/>
    <w:rsid w:val="008469D9"/>
    <w:rsid w:val="00846DC0"/>
    <w:rsid w:val="008474A7"/>
    <w:rsid w:val="008506B6"/>
    <w:rsid w:val="00850AE0"/>
    <w:rsid w:val="008519B9"/>
    <w:rsid w:val="008524D2"/>
    <w:rsid w:val="00852E19"/>
    <w:rsid w:val="00854A63"/>
    <w:rsid w:val="008551A3"/>
    <w:rsid w:val="00856441"/>
    <w:rsid w:val="00856833"/>
    <w:rsid w:val="00856840"/>
    <w:rsid w:val="0086087C"/>
    <w:rsid w:val="0086099F"/>
    <w:rsid w:val="00860D8E"/>
    <w:rsid w:val="00861562"/>
    <w:rsid w:val="00861D51"/>
    <w:rsid w:val="0086275E"/>
    <w:rsid w:val="008638C7"/>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8B3"/>
    <w:rsid w:val="008756A4"/>
    <w:rsid w:val="00875793"/>
    <w:rsid w:val="00875F73"/>
    <w:rsid w:val="00877049"/>
    <w:rsid w:val="00877F56"/>
    <w:rsid w:val="00880933"/>
    <w:rsid w:val="00880D53"/>
    <w:rsid w:val="00880F30"/>
    <w:rsid w:val="00882238"/>
    <w:rsid w:val="008833E8"/>
    <w:rsid w:val="00883E9A"/>
    <w:rsid w:val="00886333"/>
    <w:rsid w:val="008865C8"/>
    <w:rsid w:val="008867E4"/>
    <w:rsid w:val="00887B48"/>
    <w:rsid w:val="00890EC6"/>
    <w:rsid w:val="0089111A"/>
    <w:rsid w:val="0089176E"/>
    <w:rsid w:val="008917E0"/>
    <w:rsid w:val="008918B6"/>
    <w:rsid w:val="00892365"/>
    <w:rsid w:val="00892BE5"/>
    <w:rsid w:val="0089387C"/>
    <w:rsid w:val="0089444E"/>
    <w:rsid w:val="008949DF"/>
    <w:rsid w:val="00894CE4"/>
    <w:rsid w:val="008951DB"/>
    <w:rsid w:val="0089691B"/>
    <w:rsid w:val="00896C81"/>
    <w:rsid w:val="00896D83"/>
    <w:rsid w:val="008976F9"/>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019"/>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FBD"/>
    <w:rsid w:val="008C376C"/>
    <w:rsid w:val="008C45A7"/>
    <w:rsid w:val="008C47A0"/>
    <w:rsid w:val="008C4C7E"/>
    <w:rsid w:val="008C5C46"/>
    <w:rsid w:val="008C6184"/>
    <w:rsid w:val="008C61F9"/>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1A9"/>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0EF"/>
    <w:rsid w:val="008F11C9"/>
    <w:rsid w:val="008F129B"/>
    <w:rsid w:val="008F14BD"/>
    <w:rsid w:val="008F23D8"/>
    <w:rsid w:val="008F26BC"/>
    <w:rsid w:val="008F2FD5"/>
    <w:rsid w:val="008F31F2"/>
    <w:rsid w:val="008F37E5"/>
    <w:rsid w:val="008F48C2"/>
    <w:rsid w:val="008F4DF9"/>
    <w:rsid w:val="008F5840"/>
    <w:rsid w:val="008F5EEF"/>
    <w:rsid w:val="008F66FE"/>
    <w:rsid w:val="008F72CC"/>
    <w:rsid w:val="008F72CD"/>
    <w:rsid w:val="008F7575"/>
    <w:rsid w:val="008F7A35"/>
    <w:rsid w:val="008F7DEC"/>
    <w:rsid w:val="00900712"/>
    <w:rsid w:val="00900727"/>
    <w:rsid w:val="009008AF"/>
    <w:rsid w:val="00903802"/>
    <w:rsid w:val="0090451B"/>
    <w:rsid w:val="00904640"/>
    <w:rsid w:val="00904748"/>
    <w:rsid w:val="009058F7"/>
    <w:rsid w:val="00905F2A"/>
    <w:rsid w:val="0090696D"/>
    <w:rsid w:val="00906B96"/>
    <w:rsid w:val="00906CD6"/>
    <w:rsid w:val="00906DBA"/>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2BB"/>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9A7"/>
    <w:rsid w:val="00960CE7"/>
    <w:rsid w:val="0096197A"/>
    <w:rsid w:val="00961A13"/>
    <w:rsid w:val="00962098"/>
    <w:rsid w:val="00962EB2"/>
    <w:rsid w:val="00963B86"/>
    <w:rsid w:val="00964777"/>
    <w:rsid w:val="009657F1"/>
    <w:rsid w:val="0096625D"/>
    <w:rsid w:val="0096648B"/>
    <w:rsid w:val="009664F5"/>
    <w:rsid w:val="0096755D"/>
    <w:rsid w:val="009709F8"/>
    <w:rsid w:val="0097271B"/>
    <w:rsid w:val="009728F6"/>
    <w:rsid w:val="00972929"/>
    <w:rsid w:val="00972EEB"/>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B9E"/>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97CFF"/>
    <w:rsid w:val="009A010D"/>
    <w:rsid w:val="009A0C6F"/>
    <w:rsid w:val="009A14EF"/>
    <w:rsid w:val="009A1729"/>
    <w:rsid w:val="009A2DF9"/>
    <w:rsid w:val="009A3A86"/>
    <w:rsid w:val="009A4869"/>
    <w:rsid w:val="009A6A6B"/>
    <w:rsid w:val="009A6CF1"/>
    <w:rsid w:val="009A76C9"/>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88E"/>
    <w:rsid w:val="009B6D48"/>
    <w:rsid w:val="009B7204"/>
    <w:rsid w:val="009B725F"/>
    <w:rsid w:val="009B7B5B"/>
    <w:rsid w:val="009B7BB3"/>
    <w:rsid w:val="009C0074"/>
    <w:rsid w:val="009C0564"/>
    <w:rsid w:val="009C17DA"/>
    <w:rsid w:val="009C1B57"/>
    <w:rsid w:val="009C2685"/>
    <w:rsid w:val="009C2CE0"/>
    <w:rsid w:val="009C2F92"/>
    <w:rsid w:val="009C37ED"/>
    <w:rsid w:val="009C39BC"/>
    <w:rsid w:val="009C4BC2"/>
    <w:rsid w:val="009C4D22"/>
    <w:rsid w:val="009C5144"/>
    <w:rsid w:val="009C6BA0"/>
    <w:rsid w:val="009C7249"/>
    <w:rsid w:val="009C7320"/>
    <w:rsid w:val="009C76FC"/>
    <w:rsid w:val="009D0729"/>
    <w:rsid w:val="009D0F66"/>
    <w:rsid w:val="009D1A06"/>
    <w:rsid w:val="009D1BA4"/>
    <w:rsid w:val="009D1C13"/>
    <w:rsid w:val="009D20A9"/>
    <w:rsid w:val="009D20C9"/>
    <w:rsid w:val="009D20D1"/>
    <w:rsid w:val="009D22E4"/>
    <w:rsid w:val="009D22F7"/>
    <w:rsid w:val="009D319C"/>
    <w:rsid w:val="009D4556"/>
    <w:rsid w:val="009D4CBF"/>
    <w:rsid w:val="009D5BAB"/>
    <w:rsid w:val="009D5FF6"/>
    <w:rsid w:val="009D6A0A"/>
    <w:rsid w:val="009D6C7A"/>
    <w:rsid w:val="009D7580"/>
    <w:rsid w:val="009E058F"/>
    <w:rsid w:val="009E0A9E"/>
    <w:rsid w:val="009E19A2"/>
    <w:rsid w:val="009E2F24"/>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0CE1"/>
    <w:rsid w:val="009F1096"/>
    <w:rsid w:val="009F150E"/>
    <w:rsid w:val="009F266E"/>
    <w:rsid w:val="009F26F7"/>
    <w:rsid w:val="009F27AD"/>
    <w:rsid w:val="009F3FB5"/>
    <w:rsid w:val="009F4129"/>
    <w:rsid w:val="009F521F"/>
    <w:rsid w:val="009F5356"/>
    <w:rsid w:val="009F553C"/>
    <w:rsid w:val="009F59F8"/>
    <w:rsid w:val="00A00457"/>
    <w:rsid w:val="00A005B0"/>
    <w:rsid w:val="00A01370"/>
    <w:rsid w:val="00A01373"/>
    <w:rsid w:val="00A01514"/>
    <w:rsid w:val="00A0196D"/>
    <w:rsid w:val="00A01F17"/>
    <w:rsid w:val="00A022A5"/>
    <w:rsid w:val="00A03A22"/>
    <w:rsid w:val="00A04294"/>
    <w:rsid w:val="00A04634"/>
    <w:rsid w:val="00A0497B"/>
    <w:rsid w:val="00A04D67"/>
    <w:rsid w:val="00A05672"/>
    <w:rsid w:val="00A05D01"/>
    <w:rsid w:val="00A06119"/>
    <w:rsid w:val="00A06AAD"/>
    <w:rsid w:val="00A06C53"/>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0EB"/>
    <w:rsid w:val="00A165BF"/>
    <w:rsid w:val="00A16E83"/>
    <w:rsid w:val="00A16FC1"/>
    <w:rsid w:val="00A172E8"/>
    <w:rsid w:val="00A179D0"/>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0FB8"/>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7E3"/>
    <w:rsid w:val="00A44919"/>
    <w:rsid w:val="00A4549F"/>
    <w:rsid w:val="00A454A1"/>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1F0"/>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2A4"/>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DFC"/>
    <w:rsid w:val="00A7706C"/>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97918"/>
    <w:rsid w:val="00AA080D"/>
    <w:rsid w:val="00AA0BF5"/>
    <w:rsid w:val="00AA0D2B"/>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1D1"/>
    <w:rsid w:val="00AB725F"/>
    <w:rsid w:val="00AC00EF"/>
    <w:rsid w:val="00AC0705"/>
    <w:rsid w:val="00AC109B"/>
    <w:rsid w:val="00AC209E"/>
    <w:rsid w:val="00AC2D53"/>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1E6"/>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A71"/>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6F3F"/>
    <w:rsid w:val="00B07150"/>
    <w:rsid w:val="00B10558"/>
    <w:rsid w:val="00B12EF9"/>
    <w:rsid w:val="00B143EF"/>
    <w:rsid w:val="00B14677"/>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5CF"/>
    <w:rsid w:val="00B25762"/>
    <w:rsid w:val="00B25981"/>
    <w:rsid w:val="00B25B40"/>
    <w:rsid w:val="00B25FDE"/>
    <w:rsid w:val="00B26AB0"/>
    <w:rsid w:val="00B26AD2"/>
    <w:rsid w:val="00B26CA2"/>
    <w:rsid w:val="00B2721C"/>
    <w:rsid w:val="00B3092D"/>
    <w:rsid w:val="00B30B4E"/>
    <w:rsid w:val="00B31246"/>
    <w:rsid w:val="00B318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7F3"/>
    <w:rsid w:val="00B44F99"/>
    <w:rsid w:val="00B45679"/>
    <w:rsid w:val="00B45876"/>
    <w:rsid w:val="00B46082"/>
    <w:rsid w:val="00B46976"/>
    <w:rsid w:val="00B46BAE"/>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E8"/>
    <w:rsid w:val="00B62907"/>
    <w:rsid w:val="00B62E0B"/>
    <w:rsid w:val="00B63BDC"/>
    <w:rsid w:val="00B63C32"/>
    <w:rsid w:val="00B64434"/>
    <w:rsid w:val="00B657E1"/>
    <w:rsid w:val="00B659C5"/>
    <w:rsid w:val="00B66559"/>
    <w:rsid w:val="00B70D58"/>
    <w:rsid w:val="00B711CE"/>
    <w:rsid w:val="00B71CA8"/>
    <w:rsid w:val="00B71DC8"/>
    <w:rsid w:val="00B7362A"/>
    <w:rsid w:val="00B73A6A"/>
    <w:rsid w:val="00B746C6"/>
    <w:rsid w:val="00B74B5B"/>
    <w:rsid w:val="00B7604C"/>
    <w:rsid w:val="00B760CE"/>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29"/>
    <w:rsid w:val="00BB1548"/>
    <w:rsid w:val="00BB18A9"/>
    <w:rsid w:val="00BB1CE7"/>
    <w:rsid w:val="00BB2F8A"/>
    <w:rsid w:val="00BB2FD3"/>
    <w:rsid w:val="00BB2FDF"/>
    <w:rsid w:val="00BB2FFF"/>
    <w:rsid w:val="00BB4E0D"/>
    <w:rsid w:val="00BB5FCB"/>
    <w:rsid w:val="00BB604B"/>
    <w:rsid w:val="00BB6EF9"/>
    <w:rsid w:val="00BC00EC"/>
    <w:rsid w:val="00BC0120"/>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77A"/>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2A0"/>
    <w:rsid w:val="00BF24B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18F"/>
    <w:rsid w:val="00C12874"/>
    <w:rsid w:val="00C12990"/>
    <w:rsid w:val="00C12BC1"/>
    <w:rsid w:val="00C13BDA"/>
    <w:rsid w:val="00C13FFD"/>
    <w:rsid w:val="00C141E3"/>
    <w:rsid w:val="00C14632"/>
    <w:rsid w:val="00C15DCE"/>
    <w:rsid w:val="00C167DB"/>
    <w:rsid w:val="00C16C30"/>
    <w:rsid w:val="00C17325"/>
    <w:rsid w:val="00C20A00"/>
    <w:rsid w:val="00C21673"/>
    <w:rsid w:val="00C21C7A"/>
    <w:rsid w:val="00C23130"/>
    <w:rsid w:val="00C243CF"/>
    <w:rsid w:val="00C24631"/>
    <w:rsid w:val="00C255A5"/>
    <w:rsid w:val="00C25758"/>
    <w:rsid w:val="00C2584B"/>
    <w:rsid w:val="00C25942"/>
    <w:rsid w:val="00C25D34"/>
    <w:rsid w:val="00C25DD9"/>
    <w:rsid w:val="00C263E4"/>
    <w:rsid w:val="00C2663F"/>
    <w:rsid w:val="00C268F7"/>
    <w:rsid w:val="00C26DB8"/>
    <w:rsid w:val="00C272EF"/>
    <w:rsid w:val="00C30E58"/>
    <w:rsid w:val="00C312BD"/>
    <w:rsid w:val="00C32217"/>
    <w:rsid w:val="00C3242E"/>
    <w:rsid w:val="00C32F35"/>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626"/>
    <w:rsid w:val="00C61E91"/>
    <w:rsid w:val="00C62254"/>
    <w:rsid w:val="00C62CD5"/>
    <w:rsid w:val="00C636E6"/>
    <w:rsid w:val="00C639D6"/>
    <w:rsid w:val="00C63F8E"/>
    <w:rsid w:val="00C645B3"/>
    <w:rsid w:val="00C647FB"/>
    <w:rsid w:val="00C654E0"/>
    <w:rsid w:val="00C67719"/>
    <w:rsid w:val="00C67EAB"/>
    <w:rsid w:val="00C70110"/>
    <w:rsid w:val="00C70DFF"/>
    <w:rsid w:val="00C74FEE"/>
    <w:rsid w:val="00C75A6B"/>
    <w:rsid w:val="00C7602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01DB"/>
    <w:rsid w:val="00C91DE3"/>
    <w:rsid w:val="00C9237F"/>
    <w:rsid w:val="00C92C7F"/>
    <w:rsid w:val="00C93356"/>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C94"/>
    <w:rsid w:val="00CB0E3E"/>
    <w:rsid w:val="00CB24A2"/>
    <w:rsid w:val="00CB26EC"/>
    <w:rsid w:val="00CB2881"/>
    <w:rsid w:val="00CB2D2A"/>
    <w:rsid w:val="00CB37B4"/>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A7C"/>
    <w:rsid w:val="00CD5BCB"/>
    <w:rsid w:val="00CD6B7C"/>
    <w:rsid w:val="00CD6E3D"/>
    <w:rsid w:val="00CD71AB"/>
    <w:rsid w:val="00CD7958"/>
    <w:rsid w:val="00CE0109"/>
    <w:rsid w:val="00CE0A71"/>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2504"/>
    <w:rsid w:val="00D233F1"/>
    <w:rsid w:val="00D2416F"/>
    <w:rsid w:val="00D24765"/>
    <w:rsid w:val="00D2497E"/>
    <w:rsid w:val="00D256F8"/>
    <w:rsid w:val="00D259EB"/>
    <w:rsid w:val="00D25AA0"/>
    <w:rsid w:val="00D26656"/>
    <w:rsid w:val="00D2685C"/>
    <w:rsid w:val="00D26A3B"/>
    <w:rsid w:val="00D302FD"/>
    <w:rsid w:val="00D3038A"/>
    <w:rsid w:val="00D3098D"/>
    <w:rsid w:val="00D31A02"/>
    <w:rsid w:val="00D32786"/>
    <w:rsid w:val="00D32A09"/>
    <w:rsid w:val="00D3323C"/>
    <w:rsid w:val="00D33456"/>
    <w:rsid w:val="00D3396F"/>
    <w:rsid w:val="00D33D4D"/>
    <w:rsid w:val="00D341A2"/>
    <w:rsid w:val="00D34A0B"/>
    <w:rsid w:val="00D36234"/>
    <w:rsid w:val="00D36371"/>
    <w:rsid w:val="00D37E3E"/>
    <w:rsid w:val="00D41005"/>
    <w:rsid w:val="00D41CC4"/>
    <w:rsid w:val="00D437D8"/>
    <w:rsid w:val="00D44994"/>
    <w:rsid w:val="00D45708"/>
    <w:rsid w:val="00D45C8D"/>
    <w:rsid w:val="00D45DF3"/>
    <w:rsid w:val="00D46174"/>
    <w:rsid w:val="00D47DD0"/>
    <w:rsid w:val="00D50183"/>
    <w:rsid w:val="00D51D12"/>
    <w:rsid w:val="00D5263A"/>
    <w:rsid w:val="00D52F94"/>
    <w:rsid w:val="00D5362B"/>
    <w:rsid w:val="00D53F86"/>
    <w:rsid w:val="00D54CE1"/>
    <w:rsid w:val="00D55072"/>
    <w:rsid w:val="00D551B5"/>
    <w:rsid w:val="00D55690"/>
    <w:rsid w:val="00D55FDC"/>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E"/>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1D06"/>
    <w:rsid w:val="00D92B24"/>
    <w:rsid w:val="00D92C29"/>
    <w:rsid w:val="00D936E2"/>
    <w:rsid w:val="00D94A3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5B3"/>
    <w:rsid w:val="00DA5F2C"/>
    <w:rsid w:val="00DA615D"/>
    <w:rsid w:val="00DA6598"/>
    <w:rsid w:val="00DA6C0F"/>
    <w:rsid w:val="00DA702F"/>
    <w:rsid w:val="00DA7D9A"/>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EE"/>
    <w:rsid w:val="00DC7770"/>
    <w:rsid w:val="00DC7E52"/>
    <w:rsid w:val="00DD12C5"/>
    <w:rsid w:val="00DD2025"/>
    <w:rsid w:val="00DD219C"/>
    <w:rsid w:val="00DD22EA"/>
    <w:rsid w:val="00DD23A0"/>
    <w:rsid w:val="00DD2CA9"/>
    <w:rsid w:val="00DD3894"/>
    <w:rsid w:val="00DD3B18"/>
    <w:rsid w:val="00DD3EF5"/>
    <w:rsid w:val="00DD53FA"/>
    <w:rsid w:val="00DD58C2"/>
    <w:rsid w:val="00DD5F42"/>
    <w:rsid w:val="00DD617B"/>
    <w:rsid w:val="00DD6D4E"/>
    <w:rsid w:val="00DD79A6"/>
    <w:rsid w:val="00DE0443"/>
    <w:rsid w:val="00DE068C"/>
    <w:rsid w:val="00DE0E59"/>
    <w:rsid w:val="00DE0F6C"/>
    <w:rsid w:val="00DE113E"/>
    <w:rsid w:val="00DE12F0"/>
    <w:rsid w:val="00DE1935"/>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1F7"/>
    <w:rsid w:val="00E023E5"/>
    <w:rsid w:val="00E02432"/>
    <w:rsid w:val="00E02CDB"/>
    <w:rsid w:val="00E04022"/>
    <w:rsid w:val="00E04DC9"/>
    <w:rsid w:val="00E06528"/>
    <w:rsid w:val="00E066DB"/>
    <w:rsid w:val="00E0728F"/>
    <w:rsid w:val="00E0749C"/>
    <w:rsid w:val="00E0755C"/>
    <w:rsid w:val="00E07679"/>
    <w:rsid w:val="00E112CA"/>
    <w:rsid w:val="00E11D58"/>
    <w:rsid w:val="00E126C9"/>
    <w:rsid w:val="00E1386D"/>
    <w:rsid w:val="00E14A7E"/>
    <w:rsid w:val="00E151E1"/>
    <w:rsid w:val="00E158B8"/>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6A7"/>
    <w:rsid w:val="00E353A4"/>
    <w:rsid w:val="00E361B8"/>
    <w:rsid w:val="00E36A1B"/>
    <w:rsid w:val="00E37DDE"/>
    <w:rsid w:val="00E40949"/>
    <w:rsid w:val="00E40C38"/>
    <w:rsid w:val="00E42428"/>
    <w:rsid w:val="00E429ED"/>
    <w:rsid w:val="00E43F37"/>
    <w:rsid w:val="00E441E6"/>
    <w:rsid w:val="00E449B5"/>
    <w:rsid w:val="00E450ED"/>
    <w:rsid w:val="00E459A3"/>
    <w:rsid w:val="00E464C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600D"/>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C4C"/>
    <w:rsid w:val="00E804D2"/>
    <w:rsid w:val="00E80514"/>
    <w:rsid w:val="00E80B8C"/>
    <w:rsid w:val="00E80E5B"/>
    <w:rsid w:val="00E816C5"/>
    <w:rsid w:val="00E81CA5"/>
    <w:rsid w:val="00E81CE0"/>
    <w:rsid w:val="00E81E7C"/>
    <w:rsid w:val="00E82087"/>
    <w:rsid w:val="00E8224D"/>
    <w:rsid w:val="00E82391"/>
    <w:rsid w:val="00E823B0"/>
    <w:rsid w:val="00E834F2"/>
    <w:rsid w:val="00E83E66"/>
    <w:rsid w:val="00E844D8"/>
    <w:rsid w:val="00E84530"/>
    <w:rsid w:val="00E85176"/>
    <w:rsid w:val="00E8519F"/>
    <w:rsid w:val="00E85387"/>
    <w:rsid w:val="00E85686"/>
    <w:rsid w:val="00E85CC3"/>
    <w:rsid w:val="00E86033"/>
    <w:rsid w:val="00E8644A"/>
    <w:rsid w:val="00E870A9"/>
    <w:rsid w:val="00E90279"/>
    <w:rsid w:val="00E90635"/>
    <w:rsid w:val="00E909A1"/>
    <w:rsid w:val="00E90BFF"/>
    <w:rsid w:val="00E90F8C"/>
    <w:rsid w:val="00E91F04"/>
    <w:rsid w:val="00E91F35"/>
    <w:rsid w:val="00E92279"/>
    <w:rsid w:val="00E9259E"/>
    <w:rsid w:val="00E95BA6"/>
    <w:rsid w:val="00E97648"/>
    <w:rsid w:val="00EA07E9"/>
    <w:rsid w:val="00EA0E4A"/>
    <w:rsid w:val="00EA1A54"/>
    <w:rsid w:val="00EA20C5"/>
    <w:rsid w:val="00EA2226"/>
    <w:rsid w:val="00EA2483"/>
    <w:rsid w:val="00EA26FC"/>
    <w:rsid w:val="00EA3545"/>
    <w:rsid w:val="00EA3574"/>
    <w:rsid w:val="00EA3B5A"/>
    <w:rsid w:val="00EA3F75"/>
    <w:rsid w:val="00EA410E"/>
    <w:rsid w:val="00EA4FD1"/>
    <w:rsid w:val="00EA53C2"/>
    <w:rsid w:val="00EA5695"/>
    <w:rsid w:val="00EA5B0A"/>
    <w:rsid w:val="00EA5B4B"/>
    <w:rsid w:val="00EA604D"/>
    <w:rsid w:val="00EA65AD"/>
    <w:rsid w:val="00EA73ED"/>
    <w:rsid w:val="00EA7FCF"/>
    <w:rsid w:val="00EB0CA3"/>
    <w:rsid w:val="00EB104F"/>
    <w:rsid w:val="00EB1B27"/>
    <w:rsid w:val="00EB1DA8"/>
    <w:rsid w:val="00EB28C3"/>
    <w:rsid w:val="00EB2D2E"/>
    <w:rsid w:val="00EB33EB"/>
    <w:rsid w:val="00EB4B75"/>
    <w:rsid w:val="00EB4CFF"/>
    <w:rsid w:val="00EB52C3"/>
    <w:rsid w:val="00EB53A6"/>
    <w:rsid w:val="00EB5476"/>
    <w:rsid w:val="00EB5FB6"/>
    <w:rsid w:val="00EB5FF6"/>
    <w:rsid w:val="00EB6927"/>
    <w:rsid w:val="00EB70B0"/>
    <w:rsid w:val="00EB74F4"/>
    <w:rsid w:val="00EB7633"/>
    <w:rsid w:val="00EB7736"/>
    <w:rsid w:val="00EB7808"/>
    <w:rsid w:val="00EC1DCD"/>
    <w:rsid w:val="00EC2BF5"/>
    <w:rsid w:val="00EC2E2D"/>
    <w:rsid w:val="00EC363A"/>
    <w:rsid w:val="00EC462B"/>
    <w:rsid w:val="00EC4723"/>
    <w:rsid w:val="00EC56E0"/>
    <w:rsid w:val="00EC6057"/>
    <w:rsid w:val="00EC65FA"/>
    <w:rsid w:val="00EC6847"/>
    <w:rsid w:val="00EC6EB4"/>
    <w:rsid w:val="00EC7DB6"/>
    <w:rsid w:val="00ED162F"/>
    <w:rsid w:val="00ED2643"/>
    <w:rsid w:val="00ED29E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C61"/>
    <w:rsid w:val="00EE534D"/>
    <w:rsid w:val="00EE5560"/>
    <w:rsid w:val="00EE596F"/>
    <w:rsid w:val="00EE5AD0"/>
    <w:rsid w:val="00EE681B"/>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1508"/>
    <w:rsid w:val="00F02651"/>
    <w:rsid w:val="00F027BA"/>
    <w:rsid w:val="00F03E79"/>
    <w:rsid w:val="00F04390"/>
    <w:rsid w:val="00F0628D"/>
    <w:rsid w:val="00F0661B"/>
    <w:rsid w:val="00F06651"/>
    <w:rsid w:val="00F0698E"/>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6C"/>
    <w:rsid w:val="00F17EAE"/>
    <w:rsid w:val="00F2117B"/>
    <w:rsid w:val="00F2135D"/>
    <w:rsid w:val="00F218D4"/>
    <w:rsid w:val="00F21E9A"/>
    <w:rsid w:val="00F2250A"/>
    <w:rsid w:val="00F22738"/>
    <w:rsid w:val="00F22840"/>
    <w:rsid w:val="00F230F1"/>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4A"/>
    <w:rsid w:val="00F366A5"/>
    <w:rsid w:val="00F36C5F"/>
    <w:rsid w:val="00F37259"/>
    <w:rsid w:val="00F40421"/>
    <w:rsid w:val="00F405A4"/>
    <w:rsid w:val="00F406F4"/>
    <w:rsid w:val="00F41F05"/>
    <w:rsid w:val="00F433BD"/>
    <w:rsid w:val="00F43FC9"/>
    <w:rsid w:val="00F444ED"/>
    <w:rsid w:val="00F44EC5"/>
    <w:rsid w:val="00F470D6"/>
    <w:rsid w:val="00F47498"/>
    <w:rsid w:val="00F512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1"/>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46D"/>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37C"/>
    <w:rsid w:val="00FA07F8"/>
    <w:rsid w:val="00FA105C"/>
    <w:rsid w:val="00FA1475"/>
    <w:rsid w:val="00FA148A"/>
    <w:rsid w:val="00FA26BA"/>
    <w:rsid w:val="00FA27C8"/>
    <w:rsid w:val="00FA2D22"/>
    <w:rsid w:val="00FA2F08"/>
    <w:rsid w:val="00FA35E3"/>
    <w:rsid w:val="00FA3B76"/>
    <w:rsid w:val="00FA45EE"/>
    <w:rsid w:val="00FA4D66"/>
    <w:rsid w:val="00FA56AE"/>
    <w:rsid w:val="00FA5A4E"/>
    <w:rsid w:val="00FA6157"/>
    <w:rsid w:val="00FA71F2"/>
    <w:rsid w:val="00FB0082"/>
    <w:rsid w:val="00FB0243"/>
    <w:rsid w:val="00FB0AC3"/>
    <w:rsid w:val="00FB1527"/>
    <w:rsid w:val="00FB1E67"/>
    <w:rsid w:val="00FB23A7"/>
    <w:rsid w:val="00FB2537"/>
    <w:rsid w:val="00FB26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52CE"/>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 w:val="00FF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qFormat/>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qFormat/>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qFormat/>
    <w:rsid w:val="00846548"/>
    <w:rPr>
      <w:rFonts w:ascii="Arial" w:eastAsia="Malgun Gothic" w:hAnsi="Arial"/>
      <w:b/>
      <w:sz w:val="18"/>
      <w:lang w:val="en-GB"/>
    </w:rPr>
  </w:style>
  <w:style w:type="character" w:customStyle="1" w:styleId="THChar">
    <w:name w:val="TH Char"/>
    <w:link w:val="TH"/>
    <w:qFormat/>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 w:type="character" w:customStyle="1" w:styleId="TACChar">
    <w:name w:val="TAC Char"/>
    <w:link w:val="TAC"/>
    <w:qFormat/>
    <w:locked/>
    <w:rsid w:val="0028704F"/>
    <w:rPr>
      <w:rFonts w:ascii="Arial" w:hAnsi="Arial" w:cs="Arial"/>
      <w:sz w:val="18"/>
    </w:rPr>
  </w:style>
  <w:style w:type="paragraph" w:customStyle="1" w:styleId="TAC">
    <w:name w:val="TAC"/>
    <w:basedOn w:val="Normal"/>
    <w:link w:val="TACChar"/>
    <w:qFormat/>
    <w:rsid w:val="0028704F"/>
    <w:pPr>
      <w:keepNext/>
      <w:keepLines/>
      <w:autoSpaceDE/>
      <w:autoSpaceDN/>
      <w:adjustRightInd/>
      <w:snapToGrid/>
      <w:spacing w:after="0"/>
      <w:jc w:val="center"/>
    </w:pPr>
    <w:rPr>
      <w:rFonts w:ascii="Arial" w:hAnsi="Arial" w:cs="Arial"/>
      <w:sz w:val="18"/>
      <w:szCs w:val="20"/>
    </w:rPr>
  </w:style>
  <w:style w:type="character" w:customStyle="1" w:styleId="TANChar">
    <w:name w:val="TAN Char"/>
    <w:link w:val="TAN"/>
    <w:locked/>
    <w:rsid w:val="0028704F"/>
    <w:rPr>
      <w:rFonts w:ascii="Arial" w:hAnsi="Arial" w:cs="Arial"/>
      <w:sz w:val="18"/>
    </w:rPr>
  </w:style>
  <w:style w:type="paragraph" w:customStyle="1" w:styleId="TAN">
    <w:name w:val="TAN"/>
    <w:basedOn w:val="Normal"/>
    <w:link w:val="TANChar"/>
    <w:qFormat/>
    <w:rsid w:val="0028704F"/>
    <w:pPr>
      <w:keepNext/>
      <w:keepLines/>
      <w:autoSpaceDE/>
      <w:autoSpaceDN/>
      <w:adjustRightInd/>
      <w:snapToGrid/>
      <w:spacing w:after="0"/>
      <w:ind w:left="851" w:hanging="851"/>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12675">
      <w:bodyDiv w:val="1"/>
      <w:marLeft w:val="0"/>
      <w:marRight w:val="0"/>
      <w:marTop w:val="0"/>
      <w:marBottom w:val="0"/>
      <w:divBdr>
        <w:top w:val="none" w:sz="0" w:space="0" w:color="auto"/>
        <w:left w:val="none" w:sz="0" w:space="0" w:color="auto"/>
        <w:bottom w:val="none" w:sz="0" w:space="0" w:color="auto"/>
        <w:right w:val="none" w:sz="0" w:space="0" w:color="auto"/>
      </w:divBdr>
    </w:div>
    <w:div w:id="71394665">
      <w:bodyDiv w:val="1"/>
      <w:marLeft w:val="0"/>
      <w:marRight w:val="0"/>
      <w:marTop w:val="0"/>
      <w:marBottom w:val="0"/>
      <w:divBdr>
        <w:top w:val="none" w:sz="0" w:space="0" w:color="auto"/>
        <w:left w:val="none" w:sz="0" w:space="0" w:color="auto"/>
        <w:bottom w:val="none" w:sz="0" w:space="0" w:color="auto"/>
        <w:right w:val="none" w:sz="0" w:space="0" w:color="auto"/>
      </w:divBdr>
    </w:div>
    <w:div w:id="79958194">
      <w:bodyDiv w:val="1"/>
      <w:marLeft w:val="0"/>
      <w:marRight w:val="0"/>
      <w:marTop w:val="0"/>
      <w:marBottom w:val="0"/>
      <w:divBdr>
        <w:top w:val="none" w:sz="0" w:space="0" w:color="auto"/>
        <w:left w:val="none" w:sz="0" w:space="0" w:color="auto"/>
        <w:bottom w:val="none" w:sz="0" w:space="0" w:color="auto"/>
        <w:right w:val="none" w:sz="0" w:space="0" w:color="auto"/>
      </w:divBdr>
    </w:div>
    <w:div w:id="84038769">
      <w:bodyDiv w:val="1"/>
      <w:marLeft w:val="0"/>
      <w:marRight w:val="0"/>
      <w:marTop w:val="0"/>
      <w:marBottom w:val="0"/>
      <w:divBdr>
        <w:top w:val="none" w:sz="0" w:space="0" w:color="auto"/>
        <w:left w:val="none" w:sz="0" w:space="0" w:color="auto"/>
        <w:bottom w:val="none" w:sz="0" w:space="0" w:color="auto"/>
        <w:right w:val="none" w:sz="0" w:space="0" w:color="auto"/>
      </w:divBdr>
    </w:div>
    <w:div w:id="158621295">
      <w:bodyDiv w:val="1"/>
      <w:marLeft w:val="0"/>
      <w:marRight w:val="0"/>
      <w:marTop w:val="0"/>
      <w:marBottom w:val="0"/>
      <w:divBdr>
        <w:top w:val="none" w:sz="0" w:space="0" w:color="auto"/>
        <w:left w:val="none" w:sz="0" w:space="0" w:color="auto"/>
        <w:bottom w:val="none" w:sz="0" w:space="0" w:color="auto"/>
        <w:right w:val="none" w:sz="0" w:space="0" w:color="auto"/>
      </w:divBdr>
    </w:div>
    <w:div w:id="170072676">
      <w:bodyDiv w:val="1"/>
      <w:marLeft w:val="0"/>
      <w:marRight w:val="0"/>
      <w:marTop w:val="0"/>
      <w:marBottom w:val="0"/>
      <w:divBdr>
        <w:top w:val="none" w:sz="0" w:space="0" w:color="auto"/>
        <w:left w:val="none" w:sz="0" w:space="0" w:color="auto"/>
        <w:bottom w:val="none" w:sz="0" w:space="0" w:color="auto"/>
        <w:right w:val="none" w:sz="0" w:space="0" w:color="auto"/>
      </w:divBdr>
    </w:div>
    <w:div w:id="171073441">
      <w:bodyDiv w:val="1"/>
      <w:marLeft w:val="0"/>
      <w:marRight w:val="0"/>
      <w:marTop w:val="0"/>
      <w:marBottom w:val="0"/>
      <w:divBdr>
        <w:top w:val="none" w:sz="0" w:space="0" w:color="auto"/>
        <w:left w:val="none" w:sz="0" w:space="0" w:color="auto"/>
        <w:bottom w:val="none" w:sz="0" w:space="0" w:color="auto"/>
        <w:right w:val="none" w:sz="0" w:space="0" w:color="auto"/>
      </w:divBdr>
    </w:div>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5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664905">
      <w:bodyDiv w:val="1"/>
      <w:marLeft w:val="0"/>
      <w:marRight w:val="0"/>
      <w:marTop w:val="0"/>
      <w:marBottom w:val="0"/>
      <w:divBdr>
        <w:top w:val="none" w:sz="0" w:space="0" w:color="auto"/>
        <w:left w:val="none" w:sz="0" w:space="0" w:color="auto"/>
        <w:bottom w:val="none" w:sz="0" w:space="0" w:color="auto"/>
        <w:right w:val="none" w:sz="0" w:space="0" w:color="auto"/>
      </w:divBdr>
      <w:divsChild>
        <w:div w:id="1500317074">
          <w:marLeft w:val="360"/>
          <w:marRight w:val="0"/>
          <w:marTop w:val="200"/>
          <w:marBottom w:val="0"/>
          <w:divBdr>
            <w:top w:val="none" w:sz="0" w:space="0" w:color="auto"/>
            <w:left w:val="none" w:sz="0" w:space="0" w:color="auto"/>
            <w:bottom w:val="none" w:sz="0" w:space="0" w:color="auto"/>
            <w:right w:val="none" w:sz="0" w:space="0" w:color="auto"/>
          </w:divBdr>
        </w:div>
        <w:div w:id="1508206076">
          <w:marLeft w:val="1080"/>
          <w:marRight w:val="0"/>
          <w:marTop w:val="100"/>
          <w:marBottom w:val="0"/>
          <w:divBdr>
            <w:top w:val="none" w:sz="0" w:space="0" w:color="auto"/>
            <w:left w:val="none" w:sz="0" w:space="0" w:color="auto"/>
            <w:bottom w:val="none" w:sz="0" w:space="0" w:color="auto"/>
            <w:right w:val="none" w:sz="0" w:space="0" w:color="auto"/>
          </w:divBdr>
        </w:div>
        <w:div w:id="3724204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91500">
      <w:bodyDiv w:val="1"/>
      <w:marLeft w:val="0"/>
      <w:marRight w:val="0"/>
      <w:marTop w:val="0"/>
      <w:marBottom w:val="0"/>
      <w:divBdr>
        <w:top w:val="none" w:sz="0" w:space="0" w:color="auto"/>
        <w:left w:val="none" w:sz="0" w:space="0" w:color="auto"/>
        <w:bottom w:val="none" w:sz="0" w:space="0" w:color="auto"/>
        <w:right w:val="none" w:sz="0" w:space="0" w:color="auto"/>
      </w:divBdr>
      <w:divsChild>
        <w:div w:id="2028208790">
          <w:marLeft w:val="360"/>
          <w:marRight w:val="0"/>
          <w:marTop w:val="200"/>
          <w:marBottom w:val="0"/>
          <w:divBdr>
            <w:top w:val="none" w:sz="0" w:space="0" w:color="auto"/>
            <w:left w:val="none" w:sz="0" w:space="0" w:color="auto"/>
            <w:bottom w:val="none" w:sz="0" w:space="0" w:color="auto"/>
            <w:right w:val="none" w:sz="0" w:space="0" w:color="auto"/>
          </w:divBdr>
        </w:div>
        <w:div w:id="1838381783">
          <w:marLeft w:val="1080"/>
          <w:marRight w:val="0"/>
          <w:marTop w:val="100"/>
          <w:marBottom w:val="0"/>
          <w:divBdr>
            <w:top w:val="none" w:sz="0" w:space="0" w:color="auto"/>
            <w:left w:val="none" w:sz="0" w:space="0" w:color="auto"/>
            <w:bottom w:val="none" w:sz="0" w:space="0" w:color="auto"/>
            <w:right w:val="none" w:sz="0" w:space="0" w:color="auto"/>
          </w:divBdr>
        </w:div>
      </w:divsChild>
    </w:div>
    <w:div w:id="631980498">
      <w:bodyDiv w:val="1"/>
      <w:marLeft w:val="0"/>
      <w:marRight w:val="0"/>
      <w:marTop w:val="0"/>
      <w:marBottom w:val="0"/>
      <w:divBdr>
        <w:top w:val="none" w:sz="0" w:space="0" w:color="auto"/>
        <w:left w:val="none" w:sz="0" w:space="0" w:color="auto"/>
        <w:bottom w:val="none" w:sz="0" w:space="0" w:color="auto"/>
        <w:right w:val="none" w:sz="0" w:space="0" w:color="auto"/>
      </w:divBdr>
      <w:divsChild>
        <w:div w:id="1107847766">
          <w:marLeft w:val="360"/>
          <w:marRight w:val="0"/>
          <w:marTop w:val="200"/>
          <w:marBottom w:val="0"/>
          <w:divBdr>
            <w:top w:val="none" w:sz="0" w:space="0" w:color="auto"/>
            <w:left w:val="none" w:sz="0" w:space="0" w:color="auto"/>
            <w:bottom w:val="none" w:sz="0" w:space="0" w:color="auto"/>
            <w:right w:val="none" w:sz="0" w:space="0" w:color="auto"/>
          </w:divBdr>
        </w:div>
        <w:div w:id="941717465">
          <w:marLeft w:val="1080"/>
          <w:marRight w:val="0"/>
          <w:marTop w:val="100"/>
          <w:marBottom w:val="0"/>
          <w:divBdr>
            <w:top w:val="none" w:sz="0" w:space="0" w:color="auto"/>
            <w:left w:val="none" w:sz="0" w:space="0" w:color="auto"/>
            <w:bottom w:val="none" w:sz="0" w:space="0" w:color="auto"/>
            <w:right w:val="none" w:sz="0" w:space="0" w:color="auto"/>
          </w:divBdr>
        </w:div>
        <w:div w:id="340090817">
          <w:marLeft w:val="360"/>
          <w:marRight w:val="0"/>
          <w:marTop w:val="200"/>
          <w:marBottom w:val="0"/>
          <w:divBdr>
            <w:top w:val="none" w:sz="0" w:space="0" w:color="auto"/>
            <w:left w:val="none" w:sz="0" w:space="0" w:color="auto"/>
            <w:bottom w:val="none" w:sz="0" w:space="0" w:color="auto"/>
            <w:right w:val="none" w:sz="0" w:space="0" w:color="auto"/>
          </w:divBdr>
        </w:div>
        <w:div w:id="1215195585">
          <w:marLeft w:val="1080"/>
          <w:marRight w:val="0"/>
          <w:marTop w:val="100"/>
          <w:marBottom w:val="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991582">
      <w:bodyDiv w:val="1"/>
      <w:marLeft w:val="0"/>
      <w:marRight w:val="0"/>
      <w:marTop w:val="0"/>
      <w:marBottom w:val="0"/>
      <w:divBdr>
        <w:top w:val="none" w:sz="0" w:space="0" w:color="auto"/>
        <w:left w:val="none" w:sz="0" w:space="0" w:color="auto"/>
        <w:bottom w:val="none" w:sz="0" w:space="0" w:color="auto"/>
        <w:right w:val="none" w:sz="0" w:space="0" w:color="auto"/>
      </w:divBdr>
    </w:div>
    <w:div w:id="818349169">
      <w:bodyDiv w:val="1"/>
      <w:marLeft w:val="0"/>
      <w:marRight w:val="0"/>
      <w:marTop w:val="0"/>
      <w:marBottom w:val="0"/>
      <w:divBdr>
        <w:top w:val="none" w:sz="0" w:space="0" w:color="auto"/>
        <w:left w:val="none" w:sz="0" w:space="0" w:color="auto"/>
        <w:bottom w:val="none" w:sz="0" w:space="0" w:color="auto"/>
        <w:right w:val="none" w:sz="0" w:space="0" w:color="auto"/>
      </w:divBdr>
    </w:div>
    <w:div w:id="862667184">
      <w:bodyDiv w:val="1"/>
      <w:marLeft w:val="0"/>
      <w:marRight w:val="0"/>
      <w:marTop w:val="0"/>
      <w:marBottom w:val="0"/>
      <w:divBdr>
        <w:top w:val="none" w:sz="0" w:space="0" w:color="auto"/>
        <w:left w:val="none" w:sz="0" w:space="0" w:color="auto"/>
        <w:bottom w:val="none" w:sz="0" w:space="0" w:color="auto"/>
        <w:right w:val="none" w:sz="0" w:space="0" w:color="auto"/>
      </w:divBdr>
    </w:div>
    <w:div w:id="91909698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943">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108632">
      <w:bodyDiv w:val="1"/>
      <w:marLeft w:val="0"/>
      <w:marRight w:val="0"/>
      <w:marTop w:val="0"/>
      <w:marBottom w:val="0"/>
      <w:divBdr>
        <w:top w:val="none" w:sz="0" w:space="0" w:color="auto"/>
        <w:left w:val="none" w:sz="0" w:space="0" w:color="auto"/>
        <w:bottom w:val="none" w:sz="0" w:space="0" w:color="auto"/>
        <w:right w:val="none" w:sz="0" w:space="0" w:color="auto"/>
      </w:divBdr>
    </w:div>
    <w:div w:id="1002391078">
      <w:bodyDiv w:val="1"/>
      <w:marLeft w:val="0"/>
      <w:marRight w:val="0"/>
      <w:marTop w:val="0"/>
      <w:marBottom w:val="0"/>
      <w:divBdr>
        <w:top w:val="none" w:sz="0" w:space="0" w:color="auto"/>
        <w:left w:val="none" w:sz="0" w:space="0" w:color="auto"/>
        <w:bottom w:val="none" w:sz="0" w:space="0" w:color="auto"/>
        <w:right w:val="none" w:sz="0" w:space="0" w:color="auto"/>
      </w:divBdr>
      <w:divsChild>
        <w:div w:id="479931440">
          <w:marLeft w:val="360"/>
          <w:marRight w:val="0"/>
          <w:marTop w:val="200"/>
          <w:marBottom w:val="0"/>
          <w:divBdr>
            <w:top w:val="none" w:sz="0" w:space="0" w:color="auto"/>
            <w:left w:val="none" w:sz="0" w:space="0" w:color="auto"/>
            <w:bottom w:val="none" w:sz="0" w:space="0" w:color="auto"/>
            <w:right w:val="none" w:sz="0" w:space="0" w:color="auto"/>
          </w:divBdr>
        </w:div>
      </w:divsChild>
    </w:div>
    <w:div w:id="1005134863">
      <w:bodyDiv w:val="1"/>
      <w:marLeft w:val="0"/>
      <w:marRight w:val="0"/>
      <w:marTop w:val="0"/>
      <w:marBottom w:val="0"/>
      <w:divBdr>
        <w:top w:val="none" w:sz="0" w:space="0" w:color="auto"/>
        <w:left w:val="none" w:sz="0" w:space="0" w:color="auto"/>
        <w:bottom w:val="none" w:sz="0" w:space="0" w:color="auto"/>
        <w:right w:val="none" w:sz="0" w:space="0" w:color="auto"/>
      </w:divBdr>
      <w:divsChild>
        <w:div w:id="1605185037">
          <w:marLeft w:val="1267"/>
          <w:marRight w:val="0"/>
          <w:marTop w:val="0"/>
          <w:marBottom w:val="0"/>
          <w:divBdr>
            <w:top w:val="none" w:sz="0" w:space="0" w:color="auto"/>
            <w:left w:val="none" w:sz="0" w:space="0" w:color="auto"/>
            <w:bottom w:val="none" w:sz="0" w:space="0" w:color="auto"/>
            <w:right w:val="none" w:sz="0" w:space="0" w:color="auto"/>
          </w:divBdr>
        </w:div>
      </w:divsChild>
    </w:div>
    <w:div w:id="1016804485">
      <w:bodyDiv w:val="1"/>
      <w:marLeft w:val="0"/>
      <w:marRight w:val="0"/>
      <w:marTop w:val="0"/>
      <w:marBottom w:val="0"/>
      <w:divBdr>
        <w:top w:val="none" w:sz="0" w:space="0" w:color="auto"/>
        <w:left w:val="none" w:sz="0" w:space="0" w:color="auto"/>
        <w:bottom w:val="none" w:sz="0" w:space="0" w:color="auto"/>
        <w:right w:val="none" w:sz="0" w:space="0" w:color="auto"/>
      </w:divBdr>
    </w:div>
    <w:div w:id="1030642497">
      <w:bodyDiv w:val="1"/>
      <w:marLeft w:val="0"/>
      <w:marRight w:val="0"/>
      <w:marTop w:val="0"/>
      <w:marBottom w:val="0"/>
      <w:divBdr>
        <w:top w:val="none" w:sz="0" w:space="0" w:color="auto"/>
        <w:left w:val="none" w:sz="0" w:space="0" w:color="auto"/>
        <w:bottom w:val="none" w:sz="0" w:space="0" w:color="auto"/>
        <w:right w:val="none" w:sz="0" w:space="0" w:color="auto"/>
      </w:divBdr>
    </w:div>
    <w:div w:id="1128356770">
      <w:bodyDiv w:val="1"/>
      <w:marLeft w:val="0"/>
      <w:marRight w:val="0"/>
      <w:marTop w:val="0"/>
      <w:marBottom w:val="0"/>
      <w:divBdr>
        <w:top w:val="none" w:sz="0" w:space="0" w:color="auto"/>
        <w:left w:val="none" w:sz="0" w:space="0" w:color="auto"/>
        <w:bottom w:val="none" w:sz="0" w:space="0" w:color="auto"/>
        <w:right w:val="none" w:sz="0" w:space="0" w:color="auto"/>
      </w:divBdr>
      <w:divsChild>
        <w:div w:id="498234221">
          <w:marLeft w:val="360"/>
          <w:marRight w:val="0"/>
          <w:marTop w:val="200"/>
          <w:marBottom w:val="0"/>
          <w:divBdr>
            <w:top w:val="none" w:sz="0" w:space="0" w:color="auto"/>
            <w:left w:val="none" w:sz="0" w:space="0" w:color="auto"/>
            <w:bottom w:val="none" w:sz="0" w:space="0" w:color="auto"/>
            <w:right w:val="none" w:sz="0" w:space="0" w:color="auto"/>
          </w:divBdr>
        </w:div>
      </w:divsChild>
    </w:div>
    <w:div w:id="1223295115">
      <w:bodyDiv w:val="1"/>
      <w:marLeft w:val="0"/>
      <w:marRight w:val="0"/>
      <w:marTop w:val="0"/>
      <w:marBottom w:val="0"/>
      <w:divBdr>
        <w:top w:val="none" w:sz="0" w:space="0" w:color="auto"/>
        <w:left w:val="none" w:sz="0" w:space="0" w:color="auto"/>
        <w:bottom w:val="none" w:sz="0" w:space="0" w:color="auto"/>
        <w:right w:val="none" w:sz="0" w:space="0" w:color="auto"/>
      </w:divBdr>
    </w:div>
    <w:div w:id="1443646345">
      <w:bodyDiv w:val="1"/>
      <w:marLeft w:val="0"/>
      <w:marRight w:val="0"/>
      <w:marTop w:val="0"/>
      <w:marBottom w:val="0"/>
      <w:divBdr>
        <w:top w:val="none" w:sz="0" w:space="0" w:color="auto"/>
        <w:left w:val="none" w:sz="0" w:space="0" w:color="auto"/>
        <w:bottom w:val="none" w:sz="0" w:space="0" w:color="auto"/>
        <w:right w:val="none" w:sz="0" w:space="0" w:color="auto"/>
      </w:divBdr>
      <w:divsChild>
        <w:div w:id="1884057751">
          <w:marLeft w:val="446"/>
          <w:marRight w:val="0"/>
          <w:marTop w:val="0"/>
          <w:marBottom w:val="0"/>
          <w:divBdr>
            <w:top w:val="none" w:sz="0" w:space="0" w:color="auto"/>
            <w:left w:val="none" w:sz="0" w:space="0" w:color="auto"/>
            <w:bottom w:val="none" w:sz="0" w:space="0" w:color="auto"/>
            <w:right w:val="none" w:sz="0" w:space="0" w:color="auto"/>
          </w:divBdr>
        </w:div>
        <w:div w:id="552036694">
          <w:marLeft w:val="1166"/>
          <w:marRight w:val="0"/>
          <w:marTop w:val="0"/>
          <w:marBottom w:val="0"/>
          <w:divBdr>
            <w:top w:val="none" w:sz="0" w:space="0" w:color="auto"/>
            <w:left w:val="none" w:sz="0" w:space="0" w:color="auto"/>
            <w:bottom w:val="none" w:sz="0" w:space="0" w:color="auto"/>
            <w:right w:val="none" w:sz="0" w:space="0" w:color="auto"/>
          </w:divBdr>
        </w:div>
        <w:div w:id="1361708233">
          <w:marLeft w:val="446"/>
          <w:marRight w:val="0"/>
          <w:marTop w:val="0"/>
          <w:marBottom w:val="0"/>
          <w:divBdr>
            <w:top w:val="none" w:sz="0" w:space="0" w:color="auto"/>
            <w:left w:val="none" w:sz="0" w:space="0" w:color="auto"/>
            <w:bottom w:val="none" w:sz="0" w:space="0" w:color="auto"/>
            <w:right w:val="none" w:sz="0" w:space="0" w:color="auto"/>
          </w:divBdr>
        </w:div>
        <w:div w:id="783884270">
          <w:marLeft w:val="1166"/>
          <w:marRight w:val="0"/>
          <w:marTop w:val="0"/>
          <w:marBottom w:val="0"/>
          <w:divBdr>
            <w:top w:val="none" w:sz="0" w:space="0" w:color="auto"/>
            <w:left w:val="none" w:sz="0" w:space="0" w:color="auto"/>
            <w:bottom w:val="none" w:sz="0" w:space="0" w:color="auto"/>
            <w:right w:val="none" w:sz="0" w:space="0" w:color="auto"/>
          </w:divBdr>
        </w:div>
        <w:div w:id="844049653">
          <w:marLeft w:val="1886"/>
          <w:marRight w:val="0"/>
          <w:marTop w:val="0"/>
          <w:marBottom w:val="0"/>
          <w:divBdr>
            <w:top w:val="none" w:sz="0" w:space="0" w:color="auto"/>
            <w:left w:val="none" w:sz="0" w:space="0" w:color="auto"/>
            <w:bottom w:val="none" w:sz="0" w:space="0" w:color="auto"/>
            <w:right w:val="none" w:sz="0" w:space="0" w:color="auto"/>
          </w:divBdr>
        </w:div>
      </w:divsChild>
    </w:div>
    <w:div w:id="1467039695">
      <w:bodyDiv w:val="1"/>
      <w:marLeft w:val="0"/>
      <w:marRight w:val="0"/>
      <w:marTop w:val="0"/>
      <w:marBottom w:val="0"/>
      <w:divBdr>
        <w:top w:val="none" w:sz="0" w:space="0" w:color="auto"/>
        <w:left w:val="none" w:sz="0" w:space="0" w:color="auto"/>
        <w:bottom w:val="none" w:sz="0" w:space="0" w:color="auto"/>
        <w:right w:val="none" w:sz="0" w:space="0" w:color="auto"/>
      </w:divBdr>
      <w:divsChild>
        <w:div w:id="858197415">
          <w:marLeft w:val="360"/>
          <w:marRight w:val="0"/>
          <w:marTop w:val="200"/>
          <w:marBottom w:val="0"/>
          <w:divBdr>
            <w:top w:val="none" w:sz="0" w:space="0" w:color="auto"/>
            <w:left w:val="none" w:sz="0" w:space="0" w:color="auto"/>
            <w:bottom w:val="none" w:sz="0" w:space="0" w:color="auto"/>
            <w:right w:val="none" w:sz="0" w:space="0" w:color="auto"/>
          </w:divBdr>
        </w:div>
        <w:div w:id="37823242">
          <w:marLeft w:val="1080"/>
          <w:marRight w:val="0"/>
          <w:marTop w:val="100"/>
          <w:marBottom w:val="0"/>
          <w:divBdr>
            <w:top w:val="none" w:sz="0" w:space="0" w:color="auto"/>
            <w:left w:val="none" w:sz="0" w:space="0" w:color="auto"/>
            <w:bottom w:val="none" w:sz="0" w:space="0" w:color="auto"/>
            <w:right w:val="none" w:sz="0" w:space="0" w:color="auto"/>
          </w:divBdr>
        </w:div>
      </w:divsChild>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503162660">
      <w:bodyDiv w:val="1"/>
      <w:marLeft w:val="0"/>
      <w:marRight w:val="0"/>
      <w:marTop w:val="0"/>
      <w:marBottom w:val="0"/>
      <w:divBdr>
        <w:top w:val="none" w:sz="0" w:space="0" w:color="auto"/>
        <w:left w:val="none" w:sz="0" w:space="0" w:color="auto"/>
        <w:bottom w:val="none" w:sz="0" w:space="0" w:color="auto"/>
        <w:right w:val="none" w:sz="0" w:space="0" w:color="auto"/>
      </w:divBdr>
    </w:div>
    <w:div w:id="1504315577">
      <w:bodyDiv w:val="1"/>
      <w:marLeft w:val="0"/>
      <w:marRight w:val="0"/>
      <w:marTop w:val="0"/>
      <w:marBottom w:val="0"/>
      <w:divBdr>
        <w:top w:val="none" w:sz="0" w:space="0" w:color="auto"/>
        <w:left w:val="none" w:sz="0" w:space="0" w:color="auto"/>
        <w:bottom w:val="none" w:sz="0" w:space="0" w:color="auto"/>
        <w:right w:val="none" w:sz="0" w:space="0" w:color="auto"/>
      </w:divBdr>
    </w:div>
    <w:div w:id="1522822575">
      <w:bodyDiv w:val="1"/>
      <w:marLeft w:val="0"/>
      <w:marRight w:val="0"/>
      <w:marTop w:val="0"/>
      <w:marBottom w:val="0"/>
      <w:divBdr>
        <w:top w:val="none" w:sz="0" w:space="0" w:color="auto"/>
        <w:left w:val="none" w:sz="0" w:space="0" w:color="auto"/>
        <w:bottom w:val="none" w:sz="0" w:space="0" w:color="auto"/>
        <w:right w:val="none" w:sz="0" w:space="0" w:color="auto"/>
      </w:divBdr>
    </w:div>
    <w:div w:id="1529754635">
      <w:bodyDiv w:val="1"/>
      <w:marLeft w:val="0"/>
      <w:marRight w:val="0"/>
      <w:marTop w:val="0"/>
      <w:marBottom w:val="0"/>
      <w:divBdr>
        <w:top w:val="none" w:sz="0" w:space="0" w:color="auto"/>
        <w:left w:val="none" w:sz="0" w:space="0" w:color="auto"/>
        <w:bottom w:val="none" w:sz="0" w:space="0" w:color="auto"/>
        <w:right w:val="none" w:sz="0" w:space="0" w:color="auto"/>
      </w:divBdr>
    </w:div>
    <w:div w:id="1533610073">
      <w:bodyDiv w:val="1"/>
      <w:marLeft w:val="0"/>
      <w:marRight w:val="0"/>
      <w:marTop w:val="0"/>
      <w:marBottom w:val="0"/>
      <w:divBdr>
        <w:top w:val="none" w:sz="0" w:space="0" w:color="auto"/>
        <w:left w:val="none" w:sz="0" w:space="0" w:color="auto"/>
        <w:bottom w:val="none" w:sz="0" w:space="0" w:color="auto"/>
        <w:right w:val="none" w:sz="0" w:space="0" w:color="auto"/>
      </w:divBdr>
    </w:div>
    <w:div w:id="1604261045">
      <w:bodyDiv w:val="1"/>
      <w:marLeft w:val="0"/>
      <w:marRight w:val="0"/>
      <w:marTop w:val="0"/>
      <w:marBottom w:val="0"/>
      <w:divBdr>
        <w:top w:val="none" w:sz="0" w:space="0" w:color="auto"/>
        <w:left w:val="none" w:sz="0" w:space="0" w:color="auto"/>
        <w:bottom w:val="none" w:sz="0" w:space="0" w:color="auto"/>
        <w:right w:val="none" w:sz="0" w:space="0" w:color="auto"/>
      </w:divBdr>
    </w:div>
    <w:div w:id="1660184297">
      <w:bodyDiv w:val="1"/>
      <w:marLeft w:val="0"/>
      <w:marRight w:val="0"/>
      <w:marTop w:val="0"/>
      <w:marBottom w:val="0"/>
      <w:divBdr>
        <w:top w:val="none" w:sz="0" w:space="0" w:color="auto"/>
        <w:left w:val="none" w:sz="0" w:space="0" w:color="auto"/>
        <w:bottom w:val="none" w:sz="0" w:space="0" w:color="auto"/>
        <w:right w:val="none" w:sz="0" w:space="0" w:color="auto"/>
      </w:divBdr>
    </w:div>
    <w:div w:id="1699426624">
      <w:bodyDiv w:val="1"/>
      <w:marLeft w:val="0"/>
      <w:marRight w:val="0"/>
      <w:marTop w:val="0"/>
      <w:marBottom w:val="0"/>
      <w:divBdr>
        <w:top w:val="none" w:sz="0" w:space="0" w:color="auto"/>
        <w:left w:val="none" w:sz="0" w:space="0" w:color="auto"/>
        <w:bottom w:val="none" w:sz="0" w:space="0" w:color="auto"/>
        <w:right w:val="none" w:sz="0" w:space="0" w:color="auto"/>
      </w:divBdr>
    </w:div>
    <w:div w:id="170151271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5628">
      <w:bodyDiv w:val="1"/>
      <w:marLeft w:val="0"/>
      <w:marRight w:val="0"/>
      <w:marTop w:val="0"/>
      <w:marBottom w:val="0"/>
      <w:divBdr>
        <w:top w:val="none" w:sz="0" w:space="0" w:color="auto"/>
        <w:left w:val="none" w:sz="0" w:space="0" w:color="auto"/>
        <w:bottom w:val="none" w:sz="0" w:space="0" w:color="auto"/>
        <w:right w:val="none" w:sz="0" w:space="0" w:color="auto"/>
      </w:divBdr>
    </w:div>
    <w:div w:id="185318258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899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34404C-48E1-4804-8B73-5232C485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17</cp:revision>
  <cp:lastPrinted>2007-06-18T22:08:00Z</cp:lastPrinted>
  <dcterms:created xsi:type="dcterms:W3CDTF">2020-08-07T20:29:00Z</dcterms:created>
  <dcterms:modified xsi:type="dcterms:W3CDTF">2020-08-07T22:31:00Z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(3)9gi0LI6DZzhQemVsfyaMvV+QxTk89VqfecudqoISsBWfWiLridUCdnX8VM1AOOzoWMYJG6RG
svbrx0vi35XhpkwYzedsGfk9yTXR4dQaiv+HHvRttfNzHIfdg3AAuQajPtuHhgZ+3yNkY283
9e+n43cSn2MYHJcUIOLL3Alu0ySGaqKsRmeobdyPFNODe9Vlzn73nLb2Q7Da29dXWor9Plpn
sKOrp8eY0rL0dFdT/f</vt:lpwstr>
  </property>
  <property fmtid="{D5CDD505-2E9C-101B-9397-08002B2CF9AE}" pid="13" name="_2015_ms_pID_725343_00">
    <vt:lpwstr>_2015_ms_pID_725343</vt:lpwstr>
  </property>
  <property fmtid="{D5CDD505-2E9C-101B-9397-08002B2CF9AE}" pid="14" name="_2015_ms_pID_7253431">
    <vt:lpwstr>9gQ6bJfK3APV3HPQ8CaIQ8opioTKv6VkpsuX/pchXsjkhQDm1B7bRd
QGbwiTn65QKGDvgTCCxnOkJRRd3EqZ5SyfNfVm7YcJm5J2ETvP2sl320XbEdAG9WpSWCFUCO
2F2nMuwow+roZjo1gkTzbI0zuR0A+mij3ptsw0hrZfXA7F2aIh7WTlnkcihxKFTwidVKCeks
QSnSj6XkfgwizkbrjzJkP3vxTpEP2Kqd71iL</vt:lpwstr>
  </property>
  <property fmtid="{D5CDD505-2E9C-101B-9397-08002B2CF9AE}" pid="15" name="_2015_ms_pID_7253431_00">
    <vt:lpwstr>_2015_ms_pID_7253431</vt:lpwstr>
  </property>
  <property fmtid="{D5CDD505-2E9C-101B-9397-08002B2CF9AE}" pid="16" name="_2015_ms_pID_7253432">
    <vt:lpwstr>Ec5+w3Awu4PacHIt97r81ziJ/kKJrewCwZ1o
U+oJkLQupYop+13o1bUvz3ECwF9Y2e70jrjUqp2DqOtDEA5Dnfg=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